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3714" w14:textId="02BB8293" w:rsidR="000525E1" w:rsidRDefault="000525E1" w:rsidP="000525E1">
      <w:pPr>
        <w:jc w:val="center"/>
        <w:rPr>
          <w:b/>
        </w:rPr>
      </w:pPr>
      <w:r w:rsidRPr="00F808BB">
        <w:rPr>
          <w:b/>
        </w:rPr>
        <w:t xml:space="preserve">WIOA Plan Modifications – </w:t>
      </w:r>
      <w:r>
        <w:rPr>
          <w:b/>
        </w:rPr>
        <w:t>CSBG</w:t>
      </w:r>
      <w:r w:rsidRPr="00F808BB">
        <w:rPr>
          <w:b/>
        </w:rPr>
        <w:t xml:space="preserve"> Presentation – </w:t>
      </w:r>
      <w:r>
        <w:rPr>
          <w:b/>
        </w:rPr>
        <w:t>2021</w:t>
      </w:r>
    </w:p>
    <w:p w14:paraId="23DB5318" w14:textId="77777777" w:rsidR="000525E1" w:rsidRDefault="000525E1"/>
    <w:p w14:paraId="62C0DE7D" w14:textId="77777777" w:rsidR="00AA0951" w:rsidRDefault="000525E1">
      <w:pPr>
        <w:rPr>
          <w:b/>
          <w:bCs/>
        </w:rPr>
      </w:pPr>
      <w:r w:rsidRPr="00586F5B">
        <w:rPr>
          <w:b/>
          <w:bCs/>
        </w:rPr>
        <w:t xml:space="preserve">TITLE SLIDE: Requirements for Consideration for WIOA Combined State Plans that include Optional Partner Programs. </w:t>
      </w:r>
    </w:p>
    <w:p w14:paraId="38EA2AEB" w14:textId="77777777" w:rsidR="00AA0951" w:rsidRDefault="00AA0951">
      <w:pPr>
        <w:rPr>
          <w:b/>
          <w:bCs/>
        </w:rPr>
      </w:pPr>
    </w:p>
    <w:p w14:paraId="1856FCBC" w14:textId="28EDA3A9" w:rsidR="00943557" w:rsidRDefault="00943557"/>
    <w:p w14:paraId="4381933A" w14:textId="77385BDF" w:rsidR="00AA0951" w:rsidRPr="00FB6FD2" w:rsidRDefault="00AA0951">
      <w:pPr>
        <w:rPr>
          <w:b/>
          <w:bCs/>
          <w:highlight w:val="yellow"/>
        </w:rPr>
      </w:pPr>
      <w:r w:rsidRPr="00FB6FD2">
        <w:rPr>
          <w:b/>
          <w:bCs/>
          <w:highlight w:val="yellow"/>
        </w:rPr>
        <w:t>SLIDE 2: TODAY’S SPEAKER</w:t>
      </w:r>
    </w:p>
    <w:p w14:paraId="5599DFFB" w14:textId="77777777" w:rsidR="00AA0951" w:rsidRPr="00FB6FD2" w:rsidRDefault="00AA0951" w:rsidP="00AA0951">
      <w:pPr>
        <w:rPr>
          <w:highlight w:val="yellow"/>
        </w:rPr>
      </w:pPr>
      <w:r w:rsidRPr="00FB6FD2">
        <w:rPr>
          <w:highlight w:val="yellow"/>
        </w:rPr>
        <w:t xml:space="preserve">My name is Jessica Cain, Program Specialist in the Community Services Block Grant office. </w:t>
      </w:r>
    </w:p>
    <w:p w14:paraId="4829847B" w14:textId="50054195" w:rsidR="00AA0951" w:rsidRDefault="00AA0951">
      <w:r w:rsidRPr="00FB6FD2">
        <w:rPr>
          <w:highlight w:val="yellow"/>
        </w:rPr>
        <w:t xml:space="preserve">This Webinar will focus on the Community Services Block Grant </w:t>
      </w:r>
      <w:r w:rsidR="007F2B7A" w:rsidRPr="00FB6FD2">
        <w:rPr>
          <w:highlight w:val="yellow"/>
        </w:rPr>
        <w:t xml:space="preserve">(CSBG) </w:t>
      </w:r>
      <w:r w:rsidRPr="00FB6FD2">
        <w:rPr>
          <w:highlight w:val="yellow"/>
        </w:rPr>
        <w:t>in the Division of Community Assistance with the Office of Community Services. The CSBG office is responsible for the administration of the Community Services Black Grant Act</w:t>
      </w:r>
      <w:r w:rsidR="00326BE4" w:rsidRPr="00FB6FD2">
        <w:rPr>
          <w:highlight w:val="yellow"/>
        </w:rPr>
        <w:t>.</w:t>
      </w:r>
      <w:r>
        <w:t xml:space="preserve"> </w:t>
      </w:r>
    </w:p>
    <w:p w14:paraId="2287A017" w14:textId="34F5CB5E" w:rsidR="00AA0951" w:rsidRDefault="00AA0951">
      <w:pPr>
        <w:rPr>
          <w:b/>
          <w:bCs/>
        </w:rPr>
      </w:pPr>
    </w:p>
    <w:p w14:paraId="6357C814" w14:textId="77777777" w:rsidR="00AA0951" w:rsidRPr="00AA0951" w:rsidRDefault="00AA0951">
      <w:pPr>
        <w:rPr>
          <w:b/>
          <w:bCs/>
        </w:rPr>
      </w:pPr>
    </w:p>
    <w:p w14:paraId="42266AF1" w14:textId="32FE4A8B" w:rsidR="00586F5B" w:rsidRPr="00586F5B" w:rsidRDefault="00943557">
      <w:pPr>
        <w:rPr>
          <w:b/>
          <w:bCs/>
        </w:rPr>
      </w:pPr>
      <w:r w:rsidRPr="00586F5B">
        <w:rPr>
          <w:b/>
          <w:bCs/>
        </w:rPr>
        <w:t xml:space="preserve">SLIDE </w:t>
      </w:r>
      <w:r w:rsidR="00AA0951">
        <w:rPr>
          <w:b/>
          <w:bCs/>
        </w:rPr>
        <w:t>3</w:t>
      </w:r>
      <w:r w:rsidRPr="00586F5B">
        <w:rPr>
          <w:b/>
          <w:bCs/>
        </w:rPr>
        <w:t xml:space="preserve">: </w:t>
      </w:r>
      <w:r w:rsidR="00AA0951">
        <w:rPr>
          <w:b/>
          <w:bCs/>
        </w:rPr>
        <w:t xml:space="preserve">TODAY’s </w:t>
      </w:r>
      <w:r w:rsidR="00586F5B" w:rsidRPr="00586F5B">
        <w:rPr>
          <w:b/>
          <w:bCs/>
        </w:rPr>
        <w:t>OBJECTIVES</w:t>
      </w:r>
    </w:p>
    <w:p w14:paraId="5CC4B028" w14:textId="77777777" w:rsidR="00586F5B" w:rsidRDefault="00586F5B"/>
    <w:p w14:paraId="6CD9ECA1" w14:textId="26566DF2" w:rsidR="00586F5B" w:rsidRPr="00FB6FD2" w:rsidRDefault="00586F5B">
      <w:pPr>
        <w:rPr>
          <w:highlight w:val="yellow"/>
        </w:rPr>
      </w:pPr>
      <w:r w:rsidRPr="00FB6FD2">
        <w:rPr>
          <w:highlight w:val="yellow"/>
        </w:rPr>
        <w:t>The objectives of this training are to:</w:t>
      </w:r>
    </w:p>
    <w:p w14:paraId="0B73A43F" w14:textId="74B1D7A1" w:rsidR="00AA0951" w:rsidRPr="00FB6FD2" w:rsidRDefault="00AA0951" w:rsidP="00AA0951">
      <w:pPr>
        <w:numPr>
          <w:ilvl w:val="0"/>
          <w:numId w:val="9"/>
        </w:numPr>
        <w:rPr>
          <w:highlight w:val="yellow"/>
        </w:rPr>
      </w:pPr>
      <w:r w:rsidRPr="00FB6FD2">
        <w:rPr>
          <w:highlight w:val="yellow"/>
        </w:rPr>
        <w:t>Provide background on the CSBG</w:t>
      </w:r>
    </w:p>
    <w:p w14:paraId="6E70B537" w14:textId="77777777" w:rsidR="00AA0951" w:rsidRPr="00FB6FD2" w:rsidRDefault="00AA0951" w:rsidP="00AA0951">
      <w:pPr>
        <w:numPr>
          <w:ilvl w:val="0"/>
          <w:numId w:val="9"/>
        </w:numPr>
        <w:rPr>
          <w:highlight w:val="yellow"/>
        </w:rPr>
      </w:pPr>
      <w:r w:rsidRPr="00FB6FD2">
        <w:rPr>
          <w:highlight w:val="yellow"/>
        </w:rPr>
        <w:t>Describe CSBG as a part of the Workforce Development System</w:t>
      </w:r>
    </w:p>
    <w:p w14:paraId="74E4DEE3" w14:textId="0B4914D8" w:rsidR="00AA0951" w:rsidRPr="00FB6FD2" w:rsidRDefault="00AA0951" w:rsidP="00AA0951">
      <w:pPr>
        <w:numPr>
          <w:ilvl w:val="0"/>
          <w:numId w:val="9"/>
        </w:numPr>
        <w:rPr>
          <w:highlight w:val="yellow"/>
        </w:rPr>
      </w:pPr>
      <w:r w:rsidRPr="00FB6FD2">
        <w:rPr>
          <w:highlight w:val="yellow"/>
        </w:rPr>
        <w:t xml:space="preserve">Discuss requirements for the CSBG </w:t>
      </w:r>
      <w:r w:rsidR="00CF327A" w:rsidRPr="00FB6FD2">
        <w:rPr>
          <w:highlight w:val="yellow"/>
        </w:rPr>
        <w:t>S</w:t>
      </w:r>
      <w:r w:rsidRPr="00FB6FD2">
        <w:rPr>
          <w:highlight w:val="yellow"/>
        </w:rPr>
        <w:t>tate plan and the WIOA Combined</w:t>
      </w:r>
      <w:r w:rsidR="00C65321" w:rsidRPr="00FB6FD2">
        <w:rPr>
          <w:highlight w:val="yellow"/>
        </w:rPr>
        <w:t xml:space="preserve"> State</w:t>
      </w:r>
      <w:r w:rsidRPr="00FB6FD2">
        <w:rPr>
          <w:highlight w:val="yellow"/>
        </w:rPr>
        <w:t xml:space="preserve"> Plan</w:t>
      </w:r>
    </w:p>
    <w:p w14:paraId="0B47977D" w14:textId="77777777" w:rsidR="00AA0951" w:rsidRPr="00FB6FD2" w:rsidRDefault="00AA0951" w:rsidP="00AA0951">
      <w:pPr>
        <w:numPr>
          <w:ilvl w:val="0"/>
          <w:numId w:val="9"/>
        </w:numPr>
        <w:rPr>
          <w:highlight w:val="yellow"/>
        </w:rPr>
      </w:pPr>
      <w:r w:rsidRPr="00FB6FD2">
        <w:rPr>
          <w:highlight w:val="yellow"/>
        </w:rPr>
        <w:t>Provide resources</w:t>
      </w:r>
    </w:p>
    <w:p w14:paraId="2E30C8FA" w14:textId="7BA28704" w:rsidR="000525E1" w:rsidRDefault="000525E1">
      <w:pPr>
        <w:rPr>
          <w:b/>
          <w:bCs/>
        </w:rPr>
      </w:pPr>
    </w:p>
    <w:p w14:paraId="2522A57B" w14:textId="77777777" w:rsidR="00AA0951" w:rsidRPr="00586F5B" w:rsidRDefault="00AA0951">
      <w:pPr>
        <w:rPr>
          <w:b/>
          <w:bCs/>
        </w:rPr>
      </w:pPr>
    </w:p>
    <w:p w14:paraId="707988A6" w14:textId="7D0B01E7" w:rsidR="000525E1" w:rsidRPr="00586F5B" w:rsidRDefault="000525E1">
      <w:pPr>
        <w:rPr>
          <w:b/>
          <w:bCs/>
        </w:rPr>
      </w:pPr>
      <w:r w:rsidRPr="00586F5B">
        <w:rPr>
          <w:b/>
          <w:bCs/>
        </w:rPr>
        <w:t xml:space="preserve">SLIDE </w:t>
      </w:r>
      <w:r w:rsidR="00AA0951">
        <w:rPr>
          <w:b/>
          <w:bCs/>
        </w:rPr>
        <w:t>4</w:t>
      </w:r>
      <w:r w:rsidRPr="00586F5B">
        <w:rPr>
          <w:b/>
          <w:bCs/>
        </w:rPr>
        <w:t xml:space="preserve">: CSBG </w:t>
      </w:r>
    </w:p>
    <w:p w14:paraId="6BEA42A9" w14:textId="77777777" w:rsidR="00332F1B" w:rsidRDefault="00332F1B" w:rsidP="00332F1B"/>
    <w:p w14:paraId="25B7DF6A" w14:textId="65AA27E8" w:rsidR="00332F1B" w:rsidRDefault="00F53A98" w:rsidP="00332F1B">
      <w:r w:rsidRPr="00FB6FD2">
        <w:rPr>
          <w:highlight w:val="yellow"/>
        </w:rPr>
        <w:t xml:space="preserve">The Community Service Block Grant </w:t>
      </w:r>
      <w:r w:rsidR="00326BE4" w:rsidRPr="00FB6FD2">
        <w:rPr>
          <w:highlight w:val="yellow"/>
        </w:rPr>
        <w:t>came</w:t>
      </w:r>
      <w:r w:rsidRPr="00FB6FD2">
        <w:rPr>
          <w:highlight w:val="yellow"/>
        </w:rPr>
        <w:t xml:space="preserve"> out of</w:t>
      </w:r>
      <w:r w:rsidR="00326BE4" w:rsidRPr="00FB6FD2">
        <w:rPr>
          <w:highlight w:val="yellow"/>
        </w:rPr>
        <w:t xml:space="preserve"> </w:t>
      </w:r>
      <w:r w:rsidR="00CF327A" w:rsidRPr="00FB6FD2">
        <w:rPr>
          <w:highlight w:val="yellow"/>
        </w:rPr>
        <w:t xml:space="preserve">the </w:t>
      </w:r>
      <w:r w:rsidR="00326BE4" w:rsidRPr="00FB6FD2">
        <w:rPr>
          <w:highlight w:val="yellow"/>
        </w:rPr>
        <w:t>“War on Poverty” and</w:t>
      </w:r>
      <w:r w:rsidRPr="00FB6FD2">
        <w:rPr>
          <w:highlight w:val="yellow"/>
        </w:rPr>
        <w:t xml:space="preserve"> </w:t>
      </w:r>
      <w:r w:rsidR="005E3244" w:rsidRPr="00FB6FD2">
        <w:rPr>
          <w:highlight w:val="yellow"/>
        </w:rPr>
        <w:t>t</w:t>
      </w:r>
      <w:r w:rsidRPr="00FB6FD2">
        <w:rPr>
          <w:highlight w:val="yellow"/>
        </w:rPr>
        <w:t>he Economic Opportunity Act of 1964</w:t>
      </w:r>
      <w:r w:rsidR="00326BE4" w:rsidRPr="00FB6FD2">
        <w:rPr>
          <w:highlight w:val="yellow"/>
        </w:rPr>
        <w:t xml:space="preserve">. The EOA </w:t>
      </w:r>
      <w:r w:rsidR="00B522AE" w:rsidRPr="00FB6FD2">
        <w:rPr>
          <w:highlight w:val="yellow"/>
        </w:rPr>
        <w:t xml:space="preserve">established </w:t>
      </w:r>
      <w:r w:rsidRPr="00FB6FD2">
        <w:rPr>
          <w:highlight w:val="yellow"/>
        </w:rPr>
        <w:t>the Community Action Program</w:t>
      </w:r>
      <w:r w:rsidR="00326BE4" w:rsidRPr="00FB6FD2">
        <w:rPr>
          <w:highlight w:val="yellow"/>
        </w:rPr>
        <w:t>, where</w:t>
      </w:r>
      <w:r w:rsidR="00B522AE" w:rsidRPr="00FB6FD2">
        <w:rPr>
          <w:highlight w:val="yellow"/>
        </w:rPr>
        <w:t xml:space="preserve"> </w:t>
      </w:r>
      <w:r w:rsidRPr="00FB6FD2">
        <w:rPr>
          <w:highlight w:val="yellow"/>
        </w:rPr>
        <w:t xml:space="preserve">public and private </w:t>
      </w:r>
      <w:r w:rsidR="005E3244" w:rsidRPr="00FB6FD2">
        <w:rPr>
          <w:highlight w:val="yellow"/>
        </w:rPr>
        <w:t>agencies</w:t>
      </w:r>
      <w:r w:rsidRPr="00FB6FD2">
        <w:rPr>
          <w:highlight w:val="yellow"/>
        </w:rPr>
        <w:t xml:space="preserve">, called Community Action Agencies, were formed to promote self-sufficiency and </w:t>
      </w:r>
      <w:r w:rsidR="005E3244" w:rsidRPr="00FB6FD2">
        <w:rPr>
          <w:highlight w:val="yellow"/>
        </w:rPr>
        <w:t>to r</w:t>
      </w:r>
      <w:r w:rsidRPr="00FB6FD2">
        <w:rPr>
          <w:highlight w:val="yellow"/>
        </w:rPr>
        <w:t xml:space="preserve">espond to the </w:t>
      </w:r>
      <w:r w:rsidR="00326BE4" w:rsidRPr="00FB6FD2">
        <w:rPr>
          <w:highlight w:val="yellow"/>
        </w:rPr>
        <w:t xml:space="preserve">immediate </w:t>
      </w:r>
      <w:r w:rsidRPr="00FB6FD2">
        <w:rPr>
          <w:highlight w:val="yellow"/>
        </w:rPr>
        <w:t>social and economic needs within their communities. In 1981, the Community Action Program and several other funding streams were consolidated into the Community Services Block Grant</w:t>
      </w:r>
      <w:r w:rsidR="00B522AE" w:rsidRPr="00FB6FD2">
        <w:rPr>
          <w:highlight w:val="yellow"/>
        </w:rPr>
        <w:t xml:space="preserve"> through the Community Services Block Grant Act of 1981, </w:t>
      </w:r>
      <w:r w:rsidR="005E3244" w:rsidRPr="00FB6FD2">
        <w:rPr>
          <w:highlight w:val="yellow"/>
        </w:rPr>
        <w:t>shif</w:t>
      </w:r>
      <w:r w:rsidR="00B522AE" w:rsidRPr="00FB6FD2">
        <w:rPr>
          <w:highlight w:val="yellow"/>
        </w:rPr>
        <w:t>ting</w:t>
      </w:r>
      <w:r w:rsidR="005E3244" w:rsidRPr="00FB6FD2">
        <w:rPr>
          <w:highlight w:val="yellow"/>
        </w:rPr>
        <w:t xml:space="preserve"> a </w:t>
      </w:r>
      <w:r w:rsidR="00B522AE" w:rsidRPr="00FB6FD2">
        <w:rPr>
          <w:highlight w:val="yellow"/>
        </w:rPr>
        <w:t>substantial</w:t>
      </w:r>
      <w:r w:rsidR="005E3244" w:rsidRPr="00FB6FD2">
        <w:rPr>
          <w:highlight w:val="yellow"/>
        </w:rPr>
        <w:t xml:space="preserve"> amount of responsibility for</w:t>
      </w:r>
      <w:r w:rsidR="00A12A4B">
        <w:rPr>
          <w:highlight w:val="yellow"/>
        </w:rPr>
        <w:t xml:space="preserve"> administering</w:t>
      </w:r>
      <w:r w:rsidR="005E3244" w:rsidRPr="00FB6FD2">
        <w:rPr>
          <w:highlight w:val="yellow"/>
        </w:rPr>
        <w:t xml:space="preserve"> CSBG from the </w:t>
      </w:r>
      <w:r w:rsidR="00CF327A" w:rsidRPr="00FB6FD2">
        <w:rPr>
          <w:highlight w:val="yellow"/>
        </w:rPr>
        <w:t>F</w:t>
      </w:r>
      <w:r w:rsidR="005E3244" w:rsidRPr="00FB6FD2">
        <w:rPr>
          <w:highlight w:val="yellow"/>
        </w:rPr>
        <w:t xml:space="preserve">ederal government to the </w:t>
      </w:r>
      <w:r w:rsidR="003321FA" w:rsidRPr="00FB6FD2">
        <w:rPr>
          <w:highlight w:val="yellow"/>
        </w:rPr>
        <w:t>s</w:t>
      </w:r>
      <w:r w:rsidR="005E3244" w:rsidRPr="00FB6FD2">
        <w:rPr>
          <w:highlight w:val="yellow"/>
        </w:rPr>
        <w:t>tates.</w:t>
      </w:r>
      <w:r w:rsidRPr="00FB6FD2">
        <w:rPr>
          <w:highlight w:val="yellow"/>
        </w:rPr>
        <w:t xml:space="preserve"> T</w:t>
      </w:r>
      <w:r w:rsidR="00332F1B" w:rsidRPr="00FB6FD2">
        <w:rPr>
          <w:highlight w:val="yellow"/>
        </w:rPr>
        <w:t xml:space="preserve">he Community Services </w:t>
      </w:r>
      <w:r w:rsidRPr="00FB6FD2">
        <w:rPr>
          <w:highlight w:val="yellow"/>
        </w:rPr>
        <w:t>Block</w:t>
      </w:r>
      <w:r w:rsidR="00332F1B" w:rsidRPr="00FB6FD2">
        <w:rPr>
          <w:highlight w:val="yellow"/>
        </w:rPr>
        <w:t xml:space="preserve"> Grant Act of 1981 was reauthorized </w:t>
      </w:r>
      <w:r w:rsidR="00B522AE" w:rsidRPr="00FB6FD2">
        <w:rPr>
          <w:highlight w:val="yellow"/>
        </w:rPr>
        <w:t xml:space="preserve">in 1998 </w:t>
      </w:r>
      <w:r w:rsidR="00332F1B" w:rsidRPr="00FB6FD2">
        <w:rPr>
          <w:highlight w:val="yellow"/>
        </w:rPr>
        <w:t>with the Community Opportunities, Accountability, and Trainings and Educational Services Reauthorization Act of 1998, also known as the COATES Act.</w:t>
      </w:r>
    </w:p>
    <w:p w14:paraId="0C6C171D" w14:textId="29BF6D88" w:rsidR="00943557" w:rsidRDefault="00943557"/>
    <w:p w14:paraId="6A4B4793" w14:textId="4BC9E930" w:rsidR="00586F5B" w:rsidRDefault="00943557">
      <w:r>
        <w:t>The purpose of the roughly</w:t>
      </w:r>
      <w:r w:rsidR="005E0957">
        <w:t xml:space="preserve"> $745 million in annual</w:t>
      </w:r>
      <w:r w:rsidR="00CF327A">
        <w:t xml:space="preserve"> </w:t>
      </w:r>
      <w:r w:rsidR="00A12A4B">
        <w:t>f</w:t>
      </w:r>
      <w:r w:rsidR="005E0957">
        <w:t xml:space="preserve">ederal funding </w:t>
      </w:r>
      <w:r w:rsidR="00586F5B">
        <w:t>for CSBG i</w:t>
      </w:r>
      <w:r w:rsidR="005E0957">
        <w:t xml:space="preserve">s to </w:t>
      </w:r>
      <w:r w:rsidR="000525E1">
        <w:t xml:space="preserve">support services and activities that alleviate the causes and conditions of poverty in communities. The major goals of </w:t>
      </w:r>
      <w:r w:rsidR="007F2B7A">
        <w:t xml:space="preserve">the </w:t>
      </w:r>
      <w:r w:rsidR="000525E1">
        <w:t xml:space="preserve">CSBG include: 1) </w:t>
      </w:r>
      <w:r w:rsidR="00586F5B">
        <w:t xml:space="preserve">increased self-sufficiency; </w:t>
      </w:r>
      <w:r w:rsidR="001F3C72">
        <w:t>2) improved</w:t>
      </w:r>
      <w:r w:rsidR="00586F5B">
        <w:t xml:space="preserve"> </w:t>
      </w:r>
      <w:r w:rsidR="001F3C72">
        <w:t>l</w:t>
      </w:r>
      <w:r w:rsidR="00586F5B">
        <w:t xml:space="preserve">iving Conditions 3) </w:t>
      </w:r>
      <w:r w:rsidR="001F3C72">
        <w:t xml:space="preserve">fostering </w:t>
      </w:r>
      <w:r w:rsidR="00586F5B">
        <w:t xml:space="preserve">ownership and pride of communities; </w:t>
      </w:r>
      <w:r w:rsidR="001F3C72">
        <w:t xml:space="preserve">and </w:t>
      </w:r>
      <w:r w:rsidR="00586F5B">
        <w:t xml:space="preserve">4) </w:t>
      </w:r>
      <w:r w:rsidR="00EB1306">
        <w:t>strengthening family</w:t>
      </w:r>
      <w:r w:rsidR="00586F5B">
        <w:t xml:space="preserve"> and support systems. </w:t>
      </w:r>
    </w:p>
    <w:p w14:paraId="5D139FB8" w14:textId="54E33753" w:rsidR="00586F5B" w:rsidRDefault="00586F5B"/>
    <w:p w14:paraId="111BB17C" w14:textId="326177FE" w:rsidR="00181BAB" w:rsidRDefault="00586F5B">
      <w:r w:rsidRPr="00FB6FD2">
        <w:rPr>
          <w:highlight w:val="yellow"/>
        </w:rPr>
        <w:t xml:space="preserve">To receive </w:t>
      </w:r>
      <w:r w:rsidR="00A12A4B">
        <w:rPr>
          <w:highlight w:val="yellow"/>
        </w:rPr>
        <w:t>f</w:t>
      </w:r>
      <w:r w:rsidRPr="00FB6FD2">
        <w:rPr>
          <w:highlight w:val="yellow"/>
        </w:rPr>
        <w:t>ederal funding,</w:t>
      </w:r>
      <w:r w:rsidR="001F3C72" w:rsidRPr="00FB6FD2">
        <w:rPr>
          <w:highlight w:val="yellow"/>
        </w:rPr>
        <w:t xml:space="preserve"> eligible</w:t>
      </w:r>
      <w:r w:rsidRPr="00FB6FD2">
        <w:rPr>
          <w:highlight w:val="yellow"/>
        </w:rPr>
        <w:t xml:space="preserve"> </w:t>
      </w:r>
      <w:r w:rsidR="00150917" w:rsidRPr="00FB6FD2">
        <w:rPr>
          <w:highlight w:val="yellow"/>
        </w:rPr>
        <w:t>s</w:t>
      </w:r>
      <w:r w:rsidRPr="00FB6FD2">
        <w:rPr>
          <w:highlight w:val="yellow"/>
        </w:rPr>
        <w:t xml:space="preserve">tates, </w:t>
      </w:r>
      <w:r w:rsidR="00150917" w:rsidRPr="00FB6FD2">
        <w:rPr>
          <w:highlight w:val="yellow"/>
        </w:rPr>
        <w:t>t</w:t>
      </w:r>
      <w:r w:rsidRPr="00FB6FD2">
        <w:rPr>
          <w:highlight w:val="yellow"/>
        </w:rPr>
        <w:t xml:space="preserve">erritories, and </w:t>
      </w:r>
      <w:r w:rsidR="00150917" w:rsidRPr="00FB6FD2">
        <w:rPr>
          <w:highlight w:val="yellow"/>
        </w:rPr>
        <w:t>t</w:t>
      </w:r>
      <w:r w:rsidRPr="00FB6FD2">
        <w:rPr>
          <w:highlight w:val="yellow"/>
        </w:rPr>
        <w:t>ribes are required to complete</w:t>
      </w:r>
      <w:r w:rsidR="005707AD" w:rsidRPr="00FB6FD2">
        <w:rPr>
          <w:highlight w:val="yellow"/>
        </w:rPr>
        <w:t xml:space="preserve"> a Community Needs Assessment</w:t>
      </w:r>
      <w:r w:rsidR="001F3C72" w:rsidRPr="00FB6FD2">
        <w:rPr>
          <w:highlight w:val="yellow"/>
        </w:rPr>
        <w:t xml:space="preserve"> (CNA)</w:t>
      </w:r>
      <w:r w:rsidR="005707AD" w:rsidRPr="00FB6FD2">
        <w:rPr>
          <w:highlight w:val="yellow"/>
        </w:rPr>
        <w:t xml:space="preserve"> every three years</w:t>
      </w:r>
      <w:r w:rsidR="00181BAB" w:rsidRPr="00FB6FD2">
        <w:rPr>
          <w:highlight w:val="yellow"/>
        </w:rPr>
        <w:t xml:space="preserve"> to identify and prioritize the needs specific to </w:t>
      </w:r>
      <w:r w:rsidR="001F3C72" w:rsidRPr="00FB6FD2">
        <w:rPr>
          <w:highlight w:val="yellow"/>
        </w:rPr>
        <w:t>their</w:t>
      </w:r>
      <w:r w:rsidR="00181BAB" w:rsidRPr="00FB6FD2">
        <w:rPr>
          <w:highlight w:val="yellow"/>
        </w:rPr>
        <w:t xml:space="preserve"> local communit</w:t>
      </w:r>
      <w:r w:rsidR="001F3C72" w:rsidRPr="00FB6FD2">
        <w:rPr>
          <w:highlight w:val="yellow"/>
        </w:rPr>
        <w:t>ies</w:t>
      </w:r>
      <w:r w:rsidR="00181BAB" w:rsidRPr="00FB6FD2">
        <w:rPr>
          <w:highlight w:val="yellow"/>
        </w:rPr>
        <w:t xml:space="preserve">. Once </w:t>
      </w:r>
      <w:r w:rsidR="001F3C72" w:rsidRPr="00FB6FD2">
        <w:rPr>
          <w:highlight w:val="yellow"/>
        </w:rPr>
        <w:t>completed</w:t>
      </w:r>
      <w:r w:rsidR="005707AD" w:rsidRPr="00FB6FD2">
        <w:rPr>
          <w:highlight w:val="yellow"/>
        </w:rPr>
        <w:t xml:space="preserve">, </w:t>
      </w:r>
      <w:r w:rsidR="001F3C72" w:rsidRPr="00FB6FD2">
        <w:rPr>
          <w:highlight w:val="yellow"/>
        </w:rPr>
        <w:t>the</w:t>
      </w:r>
      <w:r w:rsidR="00181BAB" w:rsidRPr="00FB6FD2">
        <w:rPr>
          <w:highlight w:val="yellow"/>
        </w:rPr>
        <w:t xml:space="preserve"> CNA</w:t>
      </w:r>
      <w:r w:rsidR="005707AD" w:rsidRPr="00FB6FD2">
        <w:rPr>
          <w:highlight w:val="yellow"/>
        </w:rPr>
        <w:t xml:space="preserve"> is utilized to develop</w:t>
      </w:r>
      <w:r w:rsidRPr="00FB6FD2">
        <w:rPr>
          <w:highlight w:val="yellow"/>
        </w:rPr>
        <w:t xml:space="preserve"> a </w:t>
      </w:r>
      <w:r w:rsidR="00EB1306" w:rsidRPr="00FB6FD2">
        <w:rPr>
          <w:highlight w:val="yellow"/>
        </w:rPr>
        <w:t xml:space="preserve">one- or </w:t>
      </w:r>
      <w:r w:rsidR="00EB1306" w:rsidRPr="00FB6FD2">
        <w:rPr>
          <w:highlight w:val="yellow"/>
        </w:rPr>
        <w:lastRenderedPageBreak/>
        <w:t>two-year</w:t>
      </w:r>
      <w:r w:rsidRPr="00FB6FD2">
        <w:rPr>
          <w:highlight w:val="yellow"/>
        </w:rPr>
        <w:t xml:space="preserve"> Plan</w:t>
      </w:r>
      <w:r w:rsidR="00181BAB" w:rsidRPr="00FB6FD2">
        <w:rPr>
          <w:highlight w:val="yellow"/>
        </w:rPr>
        <w:t>. If accepted, the</w:t>
      </w:r>
      <w:r w:rsidR="00FB5801" w:rsidRPr="00FB6FD2">
        <w:rPr>
          <w:highlight w:val="yellow"/>
        </w:rPr>
        <w:t xml:space="preserve"> grant recipients receive an allocated amount of money</w:t>
      </w:r>
      <w:r w:rsidR="001F3C72" w:rsidRPr="00FB6FD2">
        <w:rPr>
          <w:highlight w:val="yellow"/>
        </w:rPr>
        <w:t xml:space="preserve">, of which 90% or more </w:t>
      </w:r>
      <w:r w:rsidR="00181BAB" w:rsidRPr="00FB6FD2">
        <w:rPr>
          <w:highlight w:val="yellow"/>
        </w:rPr>
        <w:t xml:space="preserve">is </w:t>
      </w:r>
      <w:r w:rsidR="001F3C72" w:rsidRPr="00FB6FD2">
        <w:rPr>
          <w:highlight w:val="yellow"/>
        </w:rPr>
        <w:t>dispersed</w:t>
      </w:r>
      <w:r w:rsidR="00FB5801" w:rsidRPr="00FB6FD2">
        <w:rPr>
          <w:highlight w:val="yellow"/>
        </w:rPr>
        <w:t xml:space="preserve"> across a local network of </w:t>
      </w:r>
      <w:r w:rsidR="001F3C72" w:rsidRPr="00FB6FD2">
        <w:rPr>
          <w:highlight w:val="yellow"/>
        </w:rPr>
        <w:t xml:space="preserve">eligible </w:t>
      </w:r>
      <w:r w:rsidR="00FB5801" w:rsidRPr="00FB6FD2">
        <w:rPr>
          <w:highlight w:val="yellow"/>
        </w:rPr>
        <w:t>entities</w:t>
      </w:r>
      <w:r w:rsidR="00181BAB" w:rsidRPr="00FB6FD2">
        <w:rPr>
          <w:highlight w:val="yellow"/>
        </w:rPr>
        <w:t xml:space="preserve">. These </w:t>
      </w:r>
      <w:r w:rsidR="00FB5801" w:rsidRPr="00FB6FD2">
        <w:rPr>
          <w:highlight w:val="yellow"/>
        </w:rPr>
        <w:t>include</w:t>
      </w:r>
      <w:r w:rsidR="00181BAB" w:rsidRPr="00FB6FD2">
        <w:rPr>
          <w:highlight w:val="yellow"/>
        </w:rPr>
        <w:t xml:space="preserve"> </w:t>
      </w:r>
      <w:r w:rsidR="00FB5801" w:rsidRPr="00FB6FD2">
        <w:rPr>
          <w:highlight w:val="yellow"/>
        </w:rPr>
        <w:t>Community Action Agencies and Migrant and Seasonal Farm Worker Agencies</w:t>
      </w:r>
      <w:r w:rsidR="00181BAB" w:rsidRPr="00FB6FD2">
        <w:rPr>
          <w:highlight w:val="yellow"/>
        </w:rPr>
        <w:t xml:space="preserve">, as well as any other organization deemed </w:t>
      </w:r>
      <w:r w:rsidR="001F3C72" w:rsidRPr="00FB6FD2">
        <w:rPr>
          <w:highlight w:val="yellow"/>
        </w:rPr>
        <w:t>elgible</w:t>
      </w:r>
      <w:r w:rsidR="00181BAB" w:rsidRPr="00FB6FD2">
        <w:rPr>
          <w:highlight w:val="yellow"/>
        </w:rPr>
        <w:t xml:space="preserve"> by the grant </w:t>
      </w:r>
      <w:r w:rsidR="001F3C72" w:rsidRPr="00FB6FD2">
        <w:rPr>
          <w:highlight w:val="yellow"/>
        </w:rPr>
        <w:t>recipient</w:t>
      </w:r>
      <w:r w:rsidR="00FB5801" w:rsidRPr="00FB6FD2">
        <w:rPr>
          <w:highlight w:val="yellow"/>
        </w:rPr>
        <w:t xml:space="preserve">. </w:t>
      </w:r>
      <w:r w:rsidR="001F3C72" w:rsidRPr="00FB6FD2">
        <w:rPr>
          <w:highlight w:val="yellow"/>
        </w:rPr>
        <w:t>The remaining 10% is divided up between administrative and discretionary costs</w:t>
      </w:r>
      <w:r w:rsidR="005D6B32" w:rsidRPr="00FB6FD2">
        <w:rPr>
          <w:highlight w:val="yellow"/>
        </w:rPr>
        <w:t xml:space="preserve">, including the funding of innovative </w:t>
      </w:r>
      <w:r w:rsidR="00EB1306" w:rsidRPr="00FB6FD2">
        <w:rPr>
          <w:highlight w:val="yellow"/>
        </w:rPr>
        <w:t>neighborhood</w:t>
      </w:r>
      <w:r w:rsidR="005D6B32" w:rsidRPr="00FB6FD2">
        <w:rPr>
          <w:highlight w:val="yellow"/>
        </w:rPr>
        <w:t xml:space="preserve"> programs. States submit an annual report on</w:t>
      </w:r>
      <w:r w:rsidR="007F2B7A" w:rsidRPr="00FB6FD2">
        <w:rPr>
          <w:highlight w:val="yellow"/>
        </w:rPr>
        <w:t xml:space="preserve"> </w:t>
      </w:r>
      <w:r w:rsidR="005D6B32" w:rsidRPr="00FB6FD2">
        <w:rPr>
          <w:highlight w:val="yellow"/>
        </w:rPr>
        <w:t>CSBG</w:t>
      </w:r>
      <w:r w:rsidR="007F2B7A" w:rsidRPr="00FB6FD2">
        <w:rPr>
          <w:highlight w:val="yellow"/>
        </w:rPr>
        <w:t xml:space="preserve"> </w:t>
      </w:r>
      <w:r w:rsidR="00711554" w:rsidRPr="00FB6FD2">
        <w:rPr>
          <w:highlight w:val="yellow"/>
        </w:rPr>
        <w:t xml:space="preserve">activities </w:t>
      </w:r>
      <w:r w:rsidR="007F2B7A" w:rsidRPr="00FB6FD2">
        <w:rPr>
          <w:highlight w:val="yellow"/>
        </w:rPr>
        <w:t>and spending</w:t>
      </w:r>
      <w:r w:rsidR="005D6B32" w:rsidRPr="00FB6FD2">
        <w:rPr>
          <w:highlight w:val="yellow"/>
        </w:rPr>
        <w:t xml:space="preserve"> to </w:t>
      </w:r>
      <w:r w:rsidR="00B503EB" w:rsidRPr="00FB6FD2">
        <w:rPr>
          <w:highlight w:val="yellow"/>
        </w:rPr>
        <w:t>improve performance, track results from year-to-</w:t>
      </w:r>
      <w:r w:rsidR="00EB1306" w:rsidRPr="00FB6FD2">
        <w:rPr>
          <w:highlight w:val="yellow"/>
        </w:rPr>
        <w:t>year</w:t>
      </w:r>
      <w:r w:rsidR="00B503EB" w:rsidRPr="00FB6FD2">
        <w:rPr>
          <w:highlight w:val="yellow"/>
        </w:rPr>
        <w:t xml:space="preserve">, and maintain accountability for critical </w:t>
      </w:r>
      <w:r w:rsidR="00EB1306" w:rsidRPr="00FB6FD2">
        <w:rPr>
          <w:highlight w:val="yellow"/>
        </w:rPr>
        <w:t>activities</w:t>
      </w:r>
      <w:r w:rsidR="00B503EB" w:rsidRPr="00FB6FD2">
        <w:rPr>
          <w:highlight w:val="yellow"/>
        </w:rPr>
        <w:t xml:space="preserve"> and outcomes at each level</w:t>
      </w:r>
      <w:r w:rsidR="007F2B7A" w:rsidRPr="00FB6FD2">
        <w:rPr>
          <w:highlight w:val="yellow"/>
        </w:rPr>
        <w:t xml:space="preserve"> </w:t>
      </w:r>
      <w:r w:rsidR="00B503EB" w:rsidRPr="00FB6FD2">
        <w:rPr>
          <w:highlight w:val="yellow"/>
        </w:rPr>
        <w:t xml:space="preserve">of the CSBG </w:t>
      </w:r>
      <w:r w:rsidR="00A12A4B">
        <w:rPr>
          <w:highlight w:val="yellow"/>
        </w:rPr>
        <w:t>N</w:t>
      </w:r>
      <w:r w:rsidR="00B503EB" w:rsidRPr="00FB6FD2">
        <w:rPr>
          <w:highlight w:val="yellow"/>
        </w:rPr>
        <w:t>etwork</w:t>
      </w:r>
      <w:r w:rsidR="007F2B7A" w:rsidRPr="00FB6FD2">
        <w:rPr>
          <w:highlight w:val="yellow"/>
        </w:rPr>
        <w:t xml:space="preserve"> (Federal, State, and local)</w:t>
      </w:r>
      <w:r w:rsidR="00B503EB" w:rsidRPr="00FB6FD2">
        <w:rPr>
          <w:highlight w:val="yellow"/>
        </w:rPr>
        <w:t>.</w:t>
      </w:r>
      <w:r w:rsidR="00B503EB">
        <w:t xml:space="preserve"> </w:t>
      </w:r>
    </w:p>
    <w:p w14:paraId="08EC8F1D" w14:textId="77777777" w:rsidR="00181BAB" w:rsidRDefault="00181BAB"/>
    <w:p w14:paraId="3F6A8A02" w14:textId="12783BAD" w:rsidR="0098190F" w:rsidRDefault="001F3C72">
      <w:r>
        <w:t>As a</w:t>
      </w:r>
      <w:r w:rsidR="00FB5801">
        <w:t xml:space="preserve"> block grant</w:t>
      </w:r>
      <w:r>
        <w:t xml:space="preserve">, the CSBG </w:t>
      </w:r>
      <w:r w:rsidR="00EB1306">
        <w:t>i</w:t>
      </w:r>
      <w:r w:rsidR="00FB5801">
        <w:t xml:space="preserve">s purposefully flexible, allowing local communities to use the funding in a way that addresses </w:t>
      </w:r>
      <w:r w:rsidR="00181BAB">
        <w:t>the</w:t>
      </w:r>
      <w:r w:rsidR="00FB5801">
        <w:t xml:space="preserve"> specific needs</w:t>
      </w:r>
      <w:r w:rsidR="00181BAB">
        <w:t xml:space="preserve"> found in the CNA</w:t>
      </w:r>
      <w:r w:rsidR="00FB5801">
        <w:t xml:space="preserve">. </w:t>
      </w:r>
      <w:r w:rsidR="005707AD">
        <w:t xml:space="preserve">Areas that CSBG local entities can utilize funding </w:t>
      </w:r>
      <w:r w:rsidR="00181BAB">
        <w:t>include</w:t>
      </w:r>
      <w:r w:rsidR="005707AD">
        <w:t xml:space="preserve"> </w:t>
      </w:r>
      <w:r w:rsidR="00150917">
        <w:t>e</w:t>
      </w:r>
      <w:r w:rsidR="005707AD">
        <w:t xml:space="preserve">mployment, education, income management, adequate housing, </w:t>
      </w:r>
      <w:r w:rsidR="00150917">
        <w:t>h</w:t>
      </w:r>
      <w:r w:rsidR="005707AD">
        <w:t xml:space="preserve">ealth and </w:t>
      </w:r>
      <w:r w:rsidR="00150917">
        <w:t>n</w:t>
      </w:r>
      <w:r w:rsidR="005707AD">
        <w:t xml:space="preserve">utrition services, emergency </w:t>
      </w:r>
      <w:r w:rsidR="00150917">
        <w:t>a</w:t>
      </w:r>
      <w:r w:rsidR="005707AD">
        <w:t xml:space="preserve">ssistance, </w:t>
      </w:r>
      <w:r w:rsidR="00150917">
        <w:t>y</w:t>
      </w:r>
      <w:r w:rsidR="005707AD">
        <w:t xml:space="preserve">outh </w:t>
      </w:r>
      <w:r w:rsidR="00150917">
        <w:t>d</w:t>
      </w:r>
      <w:r w:rsidR="005707AD">
        <w:t xml:space="preserve">evelopment, </w:t>
      </w:r>
      <w:r w:rsidR="00150917">
        <w:t>c</w:t>
      </w:r>
      <w:r w:rsidR="005707AD">
        <w:t xml:space="preserve">ommunity </w:t>
      </w:r>
      <w:r w:rsidR="00150917">
        <w:t>e</w:t>
      </w:r>
      <w:r w:rsidR="005707AD">
        <w:t xml:space="preserve">ngagement and </w:t>
      </w:r>
      <w:r w:rsidR="00150917">
        <w:t>p</w:t>
      </w:r>
      <w:r w:rsidR="005707AD">
        <w:t xml:space="preserve">artnerships, and </w:t>
      </w:r>
      <w:r w:rsidR="00150917">
        <w:t>l</w:t>
      </w:r>
      <w:r w:rsidR="005707AD">
        <w:t xml:space="preserve">inkages and </w:t>
      </w:r>
      <w:r w:rsidR="00150917">
        <w:t>c</w:t>
      </w:r>
      <w:r w:rsidR="005707AD">
        <w:t xml:space="preserve">oordination services. </w:t>
      </w:r>
    </w:p>
    <w:p w14:paraId="3671DD2C" w14:textId="3D4CB47B" w:rsidR="00FB5801" w:rsidRDefault="00FB5801"/>
    <w:p w14:paraId="42B4B49D" w14:textId="77777777" w:rsidR="00C65321" w:rsidRDefault="00C65321"/>
    <w:p w14:paraId="05DFCA59" w14:textId="18B14BE8" w:rsidR="00FB5801" w:rsidRPr="00FB5801" w:rsidRDefault="00FB5801">
      <w:pPr>
        <w:rPr>
          <w:b/>
          <w:bCs/>
        </w:rPr>
      </w:pPr>
      <w:r w:rsidRPr="00FB5801">
        <w:rPr>
          <w:b/>
          <w:bCs/>
        </w:rPr>
        <w:t xml:space="preserve">SLIDE </w:t>
      </w:r>
      <w:r w:rsidR="00AA0951">
        <w:rPr>
          <w:b/>
          <w:bCs/>
        </w:rPr>
        <w:t>5</w:t>
      </w:r>
      <w:r w:rsidRPr="00FB5801">
        <w:rPr>
          <w:b/>
          <w:bCs/>
        </w:rPr>
        <w:t>: CSBG AS A PART OF THE WORKFORCE DEVELOPMENT SYSTEM</w:t>
      </w:r>
    </w:p>
    <w:p w14:paraId="4E1898BF" w14:textId="20A8B81F" w:rsidR="000525E1" w:rsidRDefault="000525E1"/>
    <w:p w14:paraId="6E831ECA" w14:textId="41BB9A64" w:rsidR="0098190F" w:rsidRDefault="0098190F" w:rsidP="00FB5801">
      <w:r w:rsidRPr="00FB6FD2">
        <w:rPr>
          <w:highlight w:val="yellow"/>
        </w:rPr>
        <w:t xml:space="preserve">As WIOA encourages </w:t>
      </w:r>
      <w:r w:rsidR="00150917" w:rsidRPr="00FB6FD2">
        <w:rPr>
          <w:highlight w:val="yellow"/>
        </w:rPr>
        <w:t>s</w:t>
      </w:r>
      <w:r w:rsidRPr="00FB6FD2">
        <w:rPr>
          <w:highlight w:val="yellow"/>
        </w:rPr>
        <w:t xml:space="preserve">tate and local leaders to work together to reimagine and reshape the workforce system, </w:t>
      </w:r>
      <w:r w:rsidR="00A12A4B">
        <w:rPr>
          <w:highlight w:val="yellow"/>
        </w:rPr>
        <w:t xml:space="preserve">the </w:t>
      </w:r>
      <w:r w:rsidRPr="00FB6FD2">
        <w:rPr>
          <w:highlight w:val="yellow"/>
        </w:rPr>
        <w:t>CSBG</w:t>
      </w:r>
      <w:r w:rsidR="00A12A4B">
        <w:rPr>
          <w:highlight w:val="yellow"/>
        </w:rPr>
        <w:t xml:space="preserve"> network is a</w:t>
      </w:r>
      <w:r w:rsidRPr="00FB6FD2">
        <w:rPr>
          <w:highlight w:val="yellow"/>
        </w:rPr>
        <w:t xml:space="preserve"> natural and important partner within this system and </w:t>
      </w:r>
      <w:r w:rsidR="00A12A4B">
        <w:rPr>
          <w:highlight w:val="yellow"/>
        </w:rPr>
        <w:t>has</w:t>
      </w:r>
      <w:r w:rsidR="00711554" w:rsidRPr="00FB6FD2">
        <w:rPr>
          <w:highlight w:val="yellow"/>
        </w:rPr>
        <w:t xml:space="preserve"> </w:t>
      </w:r>
      <w:r w:rsidRPr="00FB6FD2">
        <w:rPr>
          <w:highlight w:val="yellow"/>
        </w:rPr>
        <w:t xml:space="preserve">a long history of collaborating with public and private workforce partners to better support the needs of </w:t>
      </w:r>
      <w:r w:rsidR="00711554" w:rsidRPr="00FB6FD2">
        <w:rPr>
          <w:highlight w:val="yellow"/>
        </w:rPr>
        <w:t xml:space="preserve">people </w:t>
      </w:r>
      <w:r w:rsidRPr="00FB6FD2">
        <w:rPr>
          <w:highlight w:val="yellow"/>
        </w:rPr>
        <w:t>living in high poverty areas.</w:t>
      </w:r>
      <w:r w:rsidR="00907FC5" w:rsidRPr="00FB6FD2">
        <w:rPr>
          <w:highlight w:val="yellow"/>
        </w:rPr>
        <w:t xml:space="preserve"> CSBG funding is uniquely able to foster partnerships with community-based organizations and strengthen linkages between anti-poverty programs </w:t>
      </w:r>
      <w:r w:rsidR="005707AD" w:rsidRPr="00FB6FD2">
        <w:rPr>
          <w:highlight w:val="yellow"/>
        </w:rPr>
        <w:t>to</w:t>
      </w:r>
      <w:r w:rsidR="00907FC5" w:rsidRPr="00FB6FD2">
        <w:rPr>
          <w:highlight w:val="yellow"/>
        </w:rPr>
        <w:t xml:space="preserve"> improve outreach and </w:t>
      </w:r>
      <w:r w:rsidR="005707AD" w:rsidRPr="00FB6FD2">
        <w:rPr>
          <w:highlight w:val="yellow"/>
        </w:rPr>
        <w:t xml:space="preserve">to </w:t>
      </w:r>
      <w:r w:rsidR="00907FC5" w:rsidRPr="00FB6FD2">
        <w:rPr>
          <w:highlight w:val="yellow"/>
        </w:rPr>
        <w:t>support equitable recover</w:t>
      </w:r>
      <w:r w:rsidR="001F3C72" w:rsidRPr="00FB6FD2">
        <w:rPr>
          <w:highlight w:val="yellow"/>
        </w:rPr>
        <w:t>y</w:t>
      </w:r>
      <w:r w:rsidR="00907FC5" w:rsidRPr="00FB6FD2">
        <w:rPr>
          <w:highlight w:val="yellow"/>
        </w:rPr>
        <w:t>.</w:t>
      </w:r>
      <w:r w:rsidR="005707AD">
        <w:t xml:space="preserve"> </w:t>
      </w:r>
    </w:p>
    <w:p w14:paraId="2D25A8A5" w14:textId="6DAF372B" w:rsidR="0098190F" w:rsidRDefault="0098190F" w:rsidP="00FB5801"/>
    <w:p w14:paraId="75E44BEE" w14:textId="20DA3DAD" w:rsidR="0098190F" w:rsidRDefault="0098190F" w:rsidP="00FB5801">
      <w:r>
        <w:t xml:space="preserve">CSBG is </w:t>
      </w:r>
      <w:r w:rsidR="005707AD">
        <w:t xml:space="preserve">more specifically </w:t>
      </w:r>
      <w:r>
        <w:t>incorporated into WIOA in two significant ways:</w:t>
      </w:r>
    </w:p>
    <w:p w14:paraId="54FEFBB6" w14:textId="138F7194" w:rsidR="0098190F" w:rsidRPr="0098190F" w:rsidRDefault="0098190F" w:rsidP="0098190F">
      <w:pPr>
        <w:pStyle w:val="ListParagraph"/>
        <w:numPr>
          <w:ilvl w:val="0"/>
          <w:numId w:val="4"/>
        </w:numPr>
      </w:pPr>
      <w:r>
        <w:t xml:space="preserve">CSBG employment and training </w:t>
      </w:r>
      <w:r w:rsidR="005707AD">
        <w:t>activities</w:t>
      </w:r>
      <w:r>
        <w:t xml:space="preserve"> are included as a “required partner” for WIOA</w:t>
      </w:r>
      <w:r w:rsidR="005707AD">
        <w:t xml:space="preserve">’s one-stop service delivery system, the </w:t>
      </w:r>
      <w:r w:rsidRPr="0098190F">
        <w:rPr>
          <w:b/>
          <w:bCs/>
        </w:rPr>
        <w:t>American Job Centers</w:t>
      </w:r>
      <w:r w:rsidR="001F3C72">
        <w:rPr>
          <w:b/>
          <w:bCs/>
        </w:rPr>
        <w:t xml:space="preserve">; </w:t>
      </w:r>
      <w:r w:rsidR="001F3C72">
        <w:t>and</w:t>
      </w:r>
    </w:p>
    <w:p w14:paraId="1B5EC71A" w14:textId="0282266F" w:rsidR="0098190F" w:rsidRDefault="0098190F" w:rsidP="0098190F">
      <w:pPr>
        <w:pStyle w:val="ListParagraph"/>
        <w:numPr>
          <w:ilvl w:val="0"/>
          <w:numId w:val="4"/>
        </w:numPr>
      </w:pPr>
      <w:r>
        <w:t xml:space="preserve">CSBG employment and training activities may be included, at the option of the </w:t>
      </w:r>
      <w:r w:rsidR="00CF327A">
        <w:t>S</w:t>
      </w:r>
      <w:r>
        <w:t>tate, in a WIOA Combined State Plan.</w:t>
      </w:r>
    </w:p>
    <w:p w14:paraId="486FF720" w14:textId="3D51F0BB" w:rsidR="005707AD" w:rsidRDefault="005707AD" w:rsidP="005707AD"/>
    <w:p w14:paraId="0B8D0D87" w14:textId="77777777" w:rsidR="00C65321" w:rsidRDefault="00C65321" w:rsidP="005707AD"/>
    <w:p w14:paraId="45F532C0" w14:textId="78FBE6DD" w:rsidR="005707AD" w:rsidRPr="00FB5801" w:rsidRDefault="005707AD" w:rsidP="005707AD">
      <w:pPr>
        <w:rPr>
          <w:b/>
          <w:bCs/>
        </w:rPr>
      </w:pPr>
      <w:r w:rsidRPr="00FB5801">
        <w:rPr>
          <w:b/>
          <w:bCs/>
        </w:rPr>
        <w:t xml:space="preserve">SLIDE </w:t>
      </w:r>
      <w:r w:rsidR="00AA0951">
        <w:rPr>
          <w:b/>
          <w:bCs/>
        </w:rPr>
        <w:t>6</w:t>
      </w:r>
      <w:r w:rsidRPr="00FB5801">
        <w:rPr>
          <w:b/>
          <w:bCs/>
        </w:rPr>
        <w:t xml:space="preserve">: CSBG AS A PART OF THE </w:t>
      </w:r>
      <w:r w:rsidR="00181BAB">
        <w:rPr>
          <w:b/>
          <w:bCs/>
        </w:rPr>
        <w:t xml:space="preserve">WIOA COMBINED </w:t>
      </w:r>
      <w:r w:rsidR="00EB1306">
        <w:rPr>
          <w:b/>
          <w:bCs/>
        </w:rPr>
        <w:t xml:space="preserve">STATE </w:t>
      </w:r>
      <w:r w:rsidR="00181BAB">
        <w:rPr>
          <w:b/>
          <w:bCs/>
        </w:rPr>
        <w:t>PLAN</w:t>
      </w:r>
    </w:p>
    <w:p w14:paraId="7C368AB9" w14:textId="77777777" w:rsidR="005707AD" w:rsidRDefault="005707AD" w:rsidP="005707AD"/>
    <w:p w14:paraId="5AEFE5D6" w14:textId="34E0E772" w:rsidR="00C43C7D" w:rsidRDefault="00C43C7D" w:rsidP="00C43C7D">
      <w:r>
        <w:t>Although states are highly encouraged to include</w:t>
      </w:r>
      <w:r w:rsidR="007F2B7A">
        <w:t xml:space="preserve"> </w:t>
      </w:r>
      <w:r>
        <w:t xml:space="preserve">CSBG in a WIOA </w:t>
      </w:r>
      <w:r w:rsidR="00EB1306">
        <w:t>C</w:t>
      </w:r>
      <w:r>
        <w:t>ombined</w:t>
      </w:r>
      <w:r w:rsidR="00EB1306">
        <w:t xml:space="preserve"> State</w:t>
      </w:r>
      <w:r>
        <w:t xml:space="preserve"> </w:t>
      </w:r>
      <w:r w:rsidR="00EB1306">
        <w:t>P</w:t>
      </w:r>
      <w:r>
        <w:t xml:space="preserve">lan, CSBG is considered a </w:t>
      </w:r>
      <w:r w:rsidR="00A12A4B">
        <w:t>“</w:t>
      </w:r>
      <w:r>
        <w:t>partner program</w:t>
      </w:r>
      <w:r w:rsidR="00A12A4B">
        <w:t>”</w:t>
      </w:r>
      <w:r>
        <w:t xml:space="preserve"> not a </w:t>
      </w:r>
      <w:r w:rsidR="00A12A4B">
        <w:t>“</w:t>
      </w:r>
      <w:r>
        <w:t>core program</w:t>
      </w:r>
      <w:r w:rsidR="00A12A4B">
        <w:t>”</w:t>
      </w:r>
      <w:r w:rsidR="00EB1306">
        <w:t>. Therefore,</w:t>
      </w:r>
      <w:r>
        <w:t xml:space="preserve"> WIOA authorizes states to submit a </w:t>
      </w:r>
      <w:r w:rsidR="00CF327A">
        <w:t>U</w:t>
      </w:r>
      <w:r>
        <w:t xml:space="preserve">nified </w:t>
      </w:r>
      <w:r w:rsidR="00CF327A">
        <w:t>S</w:t>
      </w:r>
      <w:r w:rsidR="00EB1306">
        <w:t xml:space="preserve">tate </w:t>
      </w:r>
      <w:r w:rsidR="00CF327A">
        <w:t>P</w:t>
      </w:r>
      <w:r>
        <w:t xml:space="preserve">lan, which would not include a CSBG response, or to exclude CSBG in the submission of a </w:t>
      </w:r>
      <w:r w:rsidR="00CF327A">
        <w:t>C</w:t>
      </w:r>
      <w:r>
        <w:t xml:space="preserve">ombined </w:t>
      </w:r>
      <w:r w:rsidR="00CF327A">
        <w:t>S</w:t>
      </w:r>
      <w:r w:rsidR="00EB1306">
        <w:t xml:space="preserve">tate </w:t>
      </w:r>
      <w:r w:rsidR="00CF327A">
        <w:t>P</w:t>
      </w:r>
      <w:r>
        <w:t>lan</w:t>
      </w:r>
      <w:r w:rsidR="00247F60">
        <w:t xml:space="preserve"> if one other </w:t>
      </w:r>
      <w:r w:rsidR="00A12A4B">
        <w:t>“</w:t>
      </w:r>
      <w:r w:rsidR="00247F60">
        <w:t>partner program</w:t>
      </w:r>
      <w:r w:rsidR="00A12A4B">
        <w:t>”</w:t>
      </w:r>
      <w:r w:rsidR="00247F60">
        <w:t xml:space="preserve"> is included instead</w:t>
      </w:r>
      <w:r>
        <w:t>.</w:t>
      </w:r>
    </w:p>
    <w:p w14:paraId="01E21BE4" w14:textId="77777777" w:rsidR="00C43C7D" w:rsidRDefault="00C43C7D" w:rsidP="00C43C7D"/>
    <w:p w14:paraId="5F6EE44C" w14:textId="3A00E06C" w:rsidR="00C43C7D" w:rsidRDefault="005707AD" w:rsidP="00FB5801">
      <w:r>
        <w:t xml:space="preserve">By </w:t>
      </w:r>
      <w:r w:rsidR="00C43C7D">
        <w:t>choosing to include</w:t>
      </w:r>
      <w:r>
        <w:t xml:space="preserve"> CSBG into a WIOA </w:t>
      </w:r>
      <w:r w:rsidR="00CF327A">
        <w:t>C</w:t>
      </w:r>
      <w:r>
        <w:t xml:space="preserve">ombined </w:t>
      </w:r>
      <w:r w:rsidR="00CF327A">
        <w:t>S</w:t>
      </w:r>
      <w:r w:rsidR="00EB1306">
        <w:t xml:space="preserve">tate </w:t>
      </w:r>
      <w:r w:rsidR="00CF327A">
        <w:t>P</w:t>
      </w:r>
      <w:r>
        <w:t xml:space="preserve">lan, states are further able to </w:t>
      </w:r>
      <w:r w:rsidR="00181BAB">
        <w:t>elaborate on</w:t>
      </w:r>
      <w:r>
        <w:t xml:space="preserve"> </w:t>
      </w:r>
      <w:r w:rsidR="00181BAB">
        <w:t>how</w:t>
      </w:r>
      <w:r>
        <w:t xml:space="preserve"> they are creating a more efficient, effective, and comprehensive workforce development system.  </w:t>
      </w:r>
      <w:r w:rsidR="00247F60">
        <w:t>M</w:t>
      </w:r>
      <w:r>
        <w:t xml:space="preserve">any CSBG </w:t>
      </w:r>
      <w:r w:rsidR="001F3C72">
        <w:t xml:space="preserve">eligible entities </w:t>
      </w:r>
      <w:r>
        <w:t xml:space="preserve">are already engaged with </w:t>
      </w:r>
      <w:r w:rsidR="00181BAB">
        <w:t>local</w:t>
      </w:r>
      <w:r>
        <w:t xml:space="preserve"> workforce </w:t>
      </w:r>
      <w:r w:rsidR="00C43C7D">
        <w:t>partners</w:t>
      </w:r>
      <w:r>
        <w:t xml:space="preserve"> and American Job Centers, and this combined plan provides an opportunity to demonstrate how. </w:t>
      </w:r>
      <w:r w:rsidR="00181BAB">
        <w:t xml:space="preserve">It also continues to </w:t>
      </w:r>
      <w:r w:rsidR="001F3C72">
        <w:t>encourage</w:t>
      </w:r>
      <w:r w:rsidR="00181BAB">
        <w:t xml:space="preserve"> linkages between anti-poverty programs </w:t>
      </w:r>
      <w:r w:rsidR="00181BAB">
        <w:lastRenderedPageBreak/>
        <w:t>through collaboration and coordination</w:t>
      </w:r>
      <w:r w:rsidR="00C43C7D">
        <w:t>, asking states, “How can I better leverage CSBG funding to support</w:t>
      </w:r>
      <w:r w:rsidR="006A08B8">
        <w:t xml:space="preserve"> the meaningful inclusion of</w:t>
      </w:r>
      <w:r w:rsidR="00C43C7D">
        <w:t xml:space="preserve"> individuals</w:t>
      </w:r>
      <w:r w:rsidR="006A08B8">
        <w:t xml:space="preserve">, </w:t>
      </w:r>
      <w:r w:rsidR="00C43C7D">
        <w:t>families</w:t>
      </w:r>
      <w:r w:rsidR="006A08B8">
        <w:t>, and communities in the workforce and encourage financial well-being and self-sufficiency?”</w:t>
      </w:r>
    </w:p>
    <w:p w14:paraId="2C4425E0" w14:textId="31168BF0" w:rsidR="00C43C7D" w:rsidRDefault="00C43C7D" w:rsidP="00FB5801"/>
    <w:p w14:paraId="037D6DF6" w14:textId="3243CCF1" w:rsidR="003C535D" w:rsidRPr="003C535D" w:rsidRDefault="00024CF0" w:rsidP="00024CF0">
      <w:pPr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FB6FD2">
        <w:rPr>
          <w:highlight w:val="yellow"/>
        </w:rPr>
        <w:t xml:space="preserve">The requirements for adding CSBG as a </w:t>
      </w:r>
      <w:r w:rsidR="00A12A4B">
        <w:rPr>
          <w:highlight w:val="yellow"/>
        </w:rPr>
        <w:t>“</w:t>
      </w:r>
      <w:r w:rsidRPr="00FB6FD2">
        <w:rPr>
          <w:highlight w:val="yellow"/>
        </w:rPr>
        <w:t>partner program</w:t>
      </w:r>
      <w:r w:rsidR="00A12A4B">
        <w:rPr>
          <w:highlight w:val="yellow"/>
        </w:rPr>
        <w:t>”</w:t>
      </w:r>
      <w:r w:rsidRPr="00FB6FD2">
        <w:rPr>
          <w:highlight w:val="yellow"/>
        </w:rPr>
        <w:t xml:space="preserve"> in the WIOA Combined State Plan are the same for all states. 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If a state chooses to include CSBG as a 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“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partner program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”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 in their WIOA Combined State Plan, the WIOA guidance requires the </w:t>
      </w:r>
      <w:r w:rsidR="00711554"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s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tate CSBG </w:t>
      </w:r>
      <w:r w:rsidR="00711554"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office 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be meaningfully included in the strategic planning and coordination with the State Board, the core programs, and any other 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“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partner programs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”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. As such, CSBG will be appropriately integrated throughout the common elements of the WIOA Combined State Plan. Even if CSBG is not included as a 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“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partner program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”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, </w:t>
      </w:r>
      <w:r w:rsidR="00711554"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the state CSBG office 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should participate in the strategic thinking around how the Workforce Developments system can better provide comprehensive, and high-quality services, as CSBG remains a 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“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required partner</w:t>
      </w:r>
      <w:r w:rsidR="00A12A4B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>”</w:t>
      </w:r>
      <w:r w:rsidRPr="00FB6FD2">
        <w:rPr>
          <w:rFonts w:ascii="Calibri" w:eastAsia="Times New Roman" w:hAnsi="Calibri" w:cs="Calibri"/>
          <w:color w:val="201F1E"/>
          <w:highlight w:val="yellow"/>
          <w:bdr w:val="none" w:sz="0" w:space="0" w:color="auto" w:frame="1"/>
        </w:rPr>
        <w:t xml:space="preserve"> of the one-stop centers.</w:t>
      </w:r>
    </w:p>
    <w:p w14:paraId="49034862" w14:textId="77777777" w:rsidR="00024CF0" w:rsidRDefault="00024CF0" w:rsidP="00FB5801"/>
    <w:p w14:paraId="553715F3" w14:textId="77777777" w:rsidR="00C65321" w:rsidRDefault="00C65321" w:rsidP="00FB5801"/>
    <w:p w14:paraId="761D2391" w14:textId="5189040E" w:rsidR="00C43C7D" w:rsidRDefault="00C43C7D" w:rsidP="00FB5801">
      <w:pPr>
        <w:rPr>
          <w:b/>
          <w:bCs/>
        </w:rPr>
      </w:pPr>
      <w:r w:rsidRPr="00FB5801">
        <w:rPr>
          <w:b/>
          <w:bCs/>
        </w:rPr>
        <w:t xml:space="preserve">SLIDE </w:t>
      </w:r>
      <w:r w:rsidR="00AA0951">
        <w:rPr>
          <w:b/>
          <w:bCs/>
        </w:rPr>
        <w:t>7</w:t>
      </w:r>
      <w:r w:rsidRPr="00FB5801">
        <w:rPr>
          <w:b/>
          <w:bCs/>
        </w:rPr>
        <w:t xml:space="preserve">: CSBG AS A PART OF THE </w:t>
      </w:r>
      <w:r>
        <w:rPr>
          <w:b/>
          <w:bCs/>
        </w:rPr>
        <w:t>WIOA COMBINED</w:t>
      </w:r>
      <w:r w:rsidR="00EB1306">
        <w:rPr>
          <w:b/>
          <w:bCs/>
        </w:rPr>
        <w:t xml:space="preserve"> STATE</w:t>
      </w:r>
      <w:r>
        <w:rPr>
          <w:b/>
          <w:bCs/>
        </w:rPr>
        <w:t xml:space="preserve"> PLAN</w:t>
      </w:r>
      <w:r w:rsidR="00024CF0">
        <w:rPr>
          <w:b/>
          <w:bCs/>
        </w:rPr>
        <w:t xml:space="preserve"> CONTINUED</w:t>
      </w:r>
    </w:p>
    <w:p w14:paraId="04602972" w14:textId="77777777" w:rsidR="006A08B8" w:rsidRDefault="006A08B8" w:rsidP="00FB5801"/>
    <w:p w14:paraId="1D1C1984" w14:textId="3DFE7A52" w:rsidR="00B522AE" w:rsidRDefault="00FA0C1C" w:rsidP="00B522AE">
      <w:r>
        <w:t>Beyond integration in</w:t>
      </w:r>
      <w:r w:rsidR="00AF709C">
        <w:t>to the</w:t>
      </w:r>
      <w:r>
        <w:t xml:space="preserve"> common elements</w:t>
      </w:r>
      <w:r w:rsidR="00AF709C">
        <w:t>,</w:t>
      </w:r>
      <w:r>
        <w:t xml:space="preserve"> </w:t>
      </w:r>
      <w:r w:rsidR="00024CF0">
        <w:t xml:space="preserve">both plans have a section specific to CSBGs role as a </w:t>
      </w:r>
      <w:r w:rsidR="00A12A4B">
        <w:t>“</w:t>
      </w:r>
      <w:r w:rsidR="00024CF0">
        <w:t>partner program</w:t>
      </w:r>
      <w:r w:rsidR="00A12A4B">
        <w:t>”</w:t>
      </w:r>
      <w:r w:rsidR="00024CF0">
        <w:t xml:space="preserve">, asking for the same information. The information would be submitted in section 9.4 and 14.5 of the CSBG State Plan and Section VII of the WIOA Combined State Plan </w:t>
      </w:r>
      <w:r w:rsidR="00AF709C">
        <w:t>(</w:t>
      </w:r>
      <w:r w:rsidR="006A08B8">
        <w:t>as seen in this comparison).</w:t>
      </w:r>
      <w:r w:rsidR="00EB1306">
        <w:t xml:space="preserve"> </w:t>
      </w:r>
      <w:r w:rsidR="00C65321">
        <w:t xml:space="preserve"> </w:t>
      </w:r>
      <w:r w:rsidR="00EB1306">
        <w:t xml:space="preserve">As </w:t>
      </w:r>
      <w:r w:rsidR="0088541F">
        <w:t>noted,</w:t>
      </w:r>
      <w:r w:rsidR="00024CF0">
        <w:t xml:space="preserve"> </w:t>
      </w:r>
      <w:r w:rsidR="00EB1306">
        <w:t xml:space="preserve">on the </w:t>
      </w:r>
      <w:r w:rsidR="00A35F80">
        <w:t>right</w:t>
      </w:r>
      <w:r w:rsidR="00EB1306">
        <w:t xml:space="preserve"> side</w:t>
      </w:r>
      <w:r w:rsidR="00024CF0">
        <w:t>,</w:t>
      </w:r>
      <w:r w:rsidR="00EB1306">
        <w:t xml:space="preserve"> from Section VII of the WIOA </w:t>
      </w:r>
      <w:r w:rsidR="00024CF0">
        <w:t xml:space="preserve">Combined </w:t>
      </w:r>
      <w:r w:rsidR="00EB1306">
        <w:t xml:space="preserve">State Plan, if a state chooses to include CSBG as a </w:t>
      </w:r>
      <w:r w:rsidR="00A12A4B">
        <w:t>“</w:t>
      </w:r>
      <w:r w:rsidR="00EB1306">
        <w:t>partner program</w:t>
      </w:r>
      <w:r w:rsidR="00A12A4B">
        <w:t>”</w:t>
      </w:r>
      <w:r w:rsidR="00EB1306">
        <w:t>, they are still required to complete the separate</w:t>
      </w:r>
      <w:r w:rsidR="00A35F80">
        <w:t xml:space="preserve">, </w:t>
      </w:r>
      <w:r w:rsidR="00EB1306">
        <w:t xml:space="preserve">stand-alone CSBG </w:t>
      </w:r>
      <w:r w:rsidR="00150917">
        <w:t>S</w:t>
      </w:r>
      <w:r w:rsidR="00EB1306">
        <w:t xml:space="preserve">tate </w:t>
      </w:r>
      <w:r w:rsidR="00150917">
        <w:t>P</w:t>
      </w:r>
      <w:r w:rsidR="00EB1306">
        <w:t xml:space="preserve">lan for submission to the DCA. </w:t>
      </w:r>
      <w:r w:rsidR="00A215A3">
        <w:t xml:space="preserve">If CSBG is added to a WIOA Combined State Plan as a </w:t>
      </w:r>
      <w:r w:rsidR="00A12A4B">
        <w:t>“</w:t>
      </w:r>
      <w:r w:rsidR="00A215A3">
        <w:t>partner program</w:t>
      </w:r>
      <w:r w:rsidR="00A12A4B">
        <w:t>”</w:t>
      </w:r>
      <w:r w:rsidR="00A215A3">
        <w:t xml:space="preserve"> or that information is modified, states will reflect those changes during the next opportunity for submission of a full CSBG State Plan.</w:t>
      </w:r>
    </w:p>
    <w:p w14:paraId="440A4E6D" w14:textId="5A6F7A0C" w:rsidR="00C65321" w:rsidRDefault="00C65321" w:rsidP="006A08B8"/>
    <w:p w14:paraId="01A9FF05" w14:textId="62AFA6B2" w:rsidR="00C65321" w:rsidRDefault="00C65321" w:rsidP="006A08B8">
      <w:r>
        <w:t xml:space="preserve">The </w:t>
      </w:r>
      <w:r w:rsidR="00C76B2A">
        <w:t>information that</w:t>
      </w:r>
      <w:r>
        <w:t xml:space="preserve"> the CSBG</w:t>
      </w:r>
      <w:r w:rsidR="00EB1306">
        <w:t xml:space="preserve"> </w:t>
      </w:r>
      <w:r w:rsidR="003321FA">
        <w:t>S</w:t>
      </w:r>
      <w:r w:rsidR="00EB1306">
        <w:t>tate</w:t>
      </w:r>
      <w:r>
        <w:t xml:space="preserve"> </w:t>
      </w:r>
      <w:r w:rsidR="003321FA">
        <w:t>P</w:t>
      </w:r>
      <w:r>
        <w:t>lan and the WIOA Combined</w:t>
      </w:r>
      <w:r w:rsidR="00EB1306">
        <w:t xml:space="preserve"> S</w:t>
      </w:r>
      <w:r w:rsidR="00150917">
        <w:t>t</w:t>
      </w:r>
      <w:r w:rsidR="00EB1306">
        <w:t>ate</w:t>
      </w:r>
      <w:r>
        <w:t xml:space="preserve"> Plan are </w:t>
      </w:r>
      <w:r w:rsidR="00AF709C">
        <w:t xml:space="preserve">specifically </w:t>
      </w:r>
      <w:r w:rsidR="00C76B2A">
        <w:t>focusing on</w:t>
      </w:r>
      <w:r>
        <w:t>, is the following:</w:t>
      </w:r>
    </w:p>
    <w:p w14:paraId="18518D2B" w14:textId="2FC6DF69" w:rsidR="00C65321" w:rsidRDefault="00C65321" w:rsidP="00CF327A">
      <w:pPr>
        <w:pStyle w:val="ListParagraph"/>
        <w:numPr>
          <w:ilvl w:val="0"/>
          <w:numId w:val="10"/>
        </w:numPr>
      </w:pPr>
      <w:r>
        <w:t xml:space="preserve">A description on how the </w:t>
      </w:r>
      <w:r w:rsidR="00150917">
        <w:t>S</w:t>
      </w:r>
      <w:r>
        <w:t xml:space="preserve">tate and eligible entities will coordinate the provision of employment and training activities through </w:t>
      </w:r>
      <w:r w:rsidR="00150917">
        <w:t>s</w:t>
      </w:r>
      <w:r>
        <w:t>tatewide and local WIOA workforce development system</w:t>
      </w:r>
      <w:r w:rsidR="00A35F80">
        <w:t>s</w:t>
      </w:r>
      <w:r>
        <w:t>; and</w:t>
      </w:r>
      <w:r w:rsidR="00EB1306">
        <w:t xml:space="preserve"> </w:t>
      </w:r>
    </w:p>
    <w:p w14:paraId="3D605FD7" w14:textId="6505A08F" w:rsidR="00C65321" w:rsidRDefault="00EB1306" w:rsidP="00C65321">
      <w:pPr>
        <w:pStyle w:val="ListParagraph"/>
        <w:numPr>
          <w:ilvl w:val="0"/>
          <w:numId w:val="10"/>
        </w:numPr>
      </w:pPr>
      <w:r>
        <w:t>E</w:t>
      </w:r>
      <w:r w:rsidR="00C65321">
        <w:t>xamples of innovative employment and training programs and activities conducted by eligible entities or other neighborhood-based organizations as a part of a community antipoverty strategy</w:t>
      </w:r>
      <w:r w:rsidR="00A35F80">
        <w:t>.</w:t>
      </w:r>
      <w:r w:rsidR="00C65321">
        <w:t xml:space="preserve"> </w:t>
      </w:r>
    </w:p>
    <w:p w14:paraId="4E79EBEC" w14:textId="6F742440" w:rsidR="006A08B8" w:rsidRDefault="006A08B8" w:rsidP="006A08B8"/>
    <w:p w14:paraId="1102F2C6" w14:textId="77777777" w:rsidR="00AA0951" w:rsidRDefault="00AA0951" w:rsidP="00C65321">
      <w:pPr>
        <w:tabs>
          <w:tab w:val="left" w:pos="720"/>
          <w:tab w:val="left" w:pos="2160"/>
        </w:tabs>
      </w:pPr>
    </w:p>
    <w:p w14:paraId="67D33443" w14:textId="6BE1785A" w:rsidR="002E5FDF" w:rsidRDefault="002E5FDF" w:rsidP="002E5FDF">
      <w:pPr>
        <w:rPr>
          <w:b/>
          <w:bCs/>
        </w:rPr>
      </w:pPr>
      <w:r w:rsidRPr="00FB5801">
        <w:rPr>
          <w:b/>
          <w:bCs/>
        </w:rPr>
        <w:t xml:space="preserve">SLIDE </w:t>
      </w:r>
      <w:r w:rsidR="00AC5947">
        <w:rPr>
          <w:b/>
          <w:bCs/>
        </w:rPr>
        <w:t>8</w:t>
      </w:r>
      <w:r w:rsidRPr="00FB5801">
        <w:rPr>
          <w:b/>
          <w:bCs/>
        </w:rPr>
        <w:t xml:space="preserve">: </w:t>
      </w:r>
      <w:r w:rsidR="004C1732">
        <w:rPr>
          <w:b/>
          <w:bCs/>
        </w:rPr>
        <w:t>RESOURCES</w:t>
      </w:r>
    </w:p>
    <w:p w14:paraId="37BA90A9" w14:textId="0B4C6FE6" w:rsidR="00D8423D" w:rsidRDefault="00D8423D" w:rsidP="002E5FDF">
      <w:pPr>
        <w:rPr>
          <w:b/>
          <w:bCs/>
        </w:rPr>
      </w:pPr>
    </w:p>
    <w:p w14:paraId="6E3E7D79" w14:textId="0DF91280" w:rsidR="00DB2A7A" w:rsidRPr="00DB2A7A" w:rsidRDefault="00F613E9" w:rsidP="0088541F">
      <w:pPr>
        <w:rPr>
          <w:b/>
          <w:bCs/>
        </w:rPr>
      </w:pPr>
      <w:r w:rsidRPr="00F613E9">
        <w:t xml:space="preserve">In closing, we hope that you have found this information helpful. If you have any questions, </w:t>
      </w:r>
      <w:r>
        <w:t>we</w:t>
      </w:r>
      <w:r w:rsidR="00D8423D" w:rsidRPr="00F613E9">
        <w:t xml:space="preserve"> encourage</w:t>
      </w:r>
      <w:r>
        <w:t xml:space="preserve"> you </w:t>
      </w:r>
      <w:r w:rsidR="00D8423D" w:rsidRPr="00F613E9">
        <w:t>to reach out to the State CSBG</w:t>
      </w:r>
      <w:r>
        <w:t xml:space="preserve"> administering</w:t>
      </w:r>
      <w:r w:rsidR="00D8423D" w:rsidRPr="00F613E9">
        <w:t xml:space="preserve"> office and/or the </w:t>
      </w:r>
      <w:r w:rsidR="00CF327A">
        <w:t>F</w:t>
      </w:r>
      <w:r w:rsidR="00D8423D" w:rsidRPr="00F613E9">
        <w:t>ederal CSBG program specialist</w:t>
      </w:r>
      <w:r>
        <w:t xml:space="preserve"> assigned to your region. </w:t>
      </w:r>
      <w:r w:rsidR="00D137C9" w:rsidRPr="00F613E9">
        <w:t xml:space="preserve"> Please refer to the following resources for </w:t>
      </w:r>
      <w:r>
        <w:t xml:space="preserve">contact information and </w:t>
      </w:r>
      <w:r w:rsidR="00D137C9" w:rsidRPr="00F613E9">
        <w:t>assistance in the</w:t>
      </w:r>
      <w:r w:rsidR="00D137C9">
        <w:t xml:space="preserve"> development of the CSBG </w:t>
      </w:r>
      <w:r w:rsidR="00CF327A">
        <w:t>S</w:t>
      </w:r>
      <w:r w:rsidR="00D137C9">
        <w:t>tate plan</w:t>
      </w:r>
      <w:r w:rsidR="00C65321">
        <w:t xml:space="preserve"> and the WIOA Combined </w:t>
      </w:r>
      <w:r w:rsidR="003321FA">
        <w:t xml:space="preserve">State </w:t>
      </w:r>
      <w:r w:rsidR="00C65321">
        <w:t>Plan.</w:t>
      </w:r>
    </w:p>
    <w:sectPr w:rsidR="00DB2A7A" w:rsidRPr="00DB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C64"/>
    <w:multiLevelType w:val="hybridMultilevel"/>
    <w:tmpl w:val="E5DE276A"/>
    <w:lvl w:ilvl="0" w:tplc="BDBC65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F0919"/>
    <w:multiLevelType w:val="hybridMultilevel"/>
    <w:tmpl w:val="4D2CE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7EC7"/>
    <w:multiLevelType w:val="hybridMultilevel"/>
    <w:tmpl w:val="C1E051EA"/>
    <w:lvl w:ilvl="0" w:tplc="8084D7F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C92"/>
    <w:multiLevelType w:val="hybridMultilevel"/>
    <w:tmpl w:val="C4C662BE"/>
    <w:lvl w:ilvl="0" w:tplc="780CFB1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E2C82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ECEA6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E22AA6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66E06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80D472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EE1BE2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8475C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6A880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7C4E99"/>
    <w:multiLevelType w:val="hybridMultilevel"/>
    <w:tmpl w:val="2E7CC540"/>
    <w:lvl w:ilvl="0" w:tplc="B61E0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43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6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4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4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A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64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0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A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897927"/>
    <w:multiLevelType w:val="hybridMultilevel"/>
    <w:tmpl w:val="5944F54A"/>
    <w:lvl w:ilvl="0" w:tplc="ACF4975A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6023C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0D6E4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5A83F6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46362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CF4CC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04DCBA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2ACD8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546BB6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9E82BC4"/>
    <w:multiLevelType w:val="hybridMultilevel"/>
    <w:tmpl w:val="9A20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0403B"/>
    <w:multiLevelType w:val="hybridMultilevel"/>
    <w:tmpl w:val="37EE2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210E"/>
    <w:multiLevelType w:val="hybridMultilevel"/>
    <w:tmpl w:val="DB560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240FC"/>
    <w:multiLevelType w:val="hybridMultilevel"/>
    <w:tmpl w:val="6DD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57"/>
    <w:rsid w:val="00024CF0"/>
    <w:rsid w:val="000525E1"/>
    <w:rsid w:val="00150917"/>
    <w:rsid w:val="00181BAB"/>
    <w:rsid w:val="001F3C72"/>
    <w:rsid w:val="00247F60"/>
    <w:rsid w:val="002B1A7C"/>
    <w:rsid w:val="002E5FDF"/>
    <w:rsid w:val="002F281B"/>
    <w:rsid w:val="00326BE4"/>
    <w:rsid w:val="003321FA"/>
    <w:rsid w:val="00332F1B"/>
    <w:rsid w:val="003C535D"/>
    <w:rsid w:val="004A7B5D"/>
    <w:rsid w:val="004C1732"/>
    <w:rsid w:val="005707AD"/>
    <w:rsid w:val="00586F5B"/>
    <w:rsid w:val="005D6B32"/>
    <w:rsid w:val="005E0957"/>
    <w:rsid w:val="005E3244"/>
    <w:rsid w:val="00631F91"/>
    <w:rsid w:val="006A08B8"/>
    <w:rsid w:val="00711554"/>
    <w:rsid w:val="007F2B7A"/>
    <w:rsid w:val="0088541F"/>
    <w:rsid w:val="008876F8"/>
    <w:rsid w:val="00907FC5"/>
    <w:rsid w:val="00943557"/>
    <w:rsid w:val="0098190F"/>
    <w:rsid w:val="00A12A4B"/>
    <w:rsid w:val="00A215A3"/>
    <w:rsid w:val="00A35F80"/>
    <w:rsid w:val="00A6400E"/>
    <w:rsid w:val="00AA0951"/>
    <w:rsid w:val="00AC5947"/>
    <w:rsid w:val="00AE2BE0"/>
    <w:rsid w:val="00AF709C"/>
    <w:rsid w:val="00B503EB"/>
    <w:rsid w:val="00B522AE"/>
    <w:rsid w:val="00C43C7D"/>
    <w:rsid w:val="00C52747"/>
    <w:rsid w:val="00C65321"/>
    <w:rsid w:val="00C76B2A"/>
    <w:rsid w:val="00CC064E"/>
    <w:rsid w:val="00CF327A"/>
    <w:rsid w:val="00D137C9"/>
    <w:rsid w:val="00D8423D"/>
    <w:rsid w:val="00DB2A7A"/>
    <w:rsid w:val="00EB1306"/>
    <w:rsid w:val="00F53A98"/>
    <w:rsid w:val="00F613E9"/>
    <w:rsid w:val="00FA0C1C"/>
    <w:rsid w:val="00FB5801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D6B8C"/>
  <w15:chartTrackingRefBased/>
  <w15:docId w15:val="{ABC8D136-7730-7B4C-B705-22C2C1A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5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6F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9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7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3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62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14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83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421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173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0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16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9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18AAA-A5C8-6B40-B6EB-05ADE05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Cain (ACF)</cp:lastModifiedBy>
  <cp:revision>4</cp:revision>
  <dcterms:created xsi:type="dcterms:W3CDTF">2021-12-10T21:22:00Z</dcterms:created>
  <dcterms:modified xsi:type="dcterms:W3CDTF">2021-12-13T16:09:00Z</dcterms:modified>
</cp:coreProperties>
</file>