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D0777" w14:textId="6BBB5239" w:rsidR="00874112" w:rsidRDefault="00874112" w:rsidP="000C6B8B">
      <w:pPr>
        <w:pStyle w:val="Subtitle"/>
        <w:spacing w:before="240"/>
        <w:ind w:left="-86" w:right="-432"/>
      </w:pPr>
      <w:r>
        <w:t>State Monitoring System Self-Assessment</w:t>
      </w:r>
    </w:p>
    <w:p w14:paraId="5E346946" w14:textId="77777777" w:rsidR="00874112" w:rsidRDefault="00874112" w:rsidP="00874112">
      <w:pPr>
        <w:pStyle w:val="Heading3"/>
      </w:pPr>
      <w:r>
        <w:t>Introduction</w:t>
      </w:r>
    </w:p>
    <w:p w14:paraId="1BB784D0" w14:textId="538BED1B" w:rsidR="00874112" w:rsidRPr="00F06A15" w:rsidRDefault="00874112" w:rsidP="00874112">
      <w:r w:rsidRPr="00F06A15">
        <w:t xml:space="preserve">USDOL/ETA, in partnership with Maher &amp; Maher, developed a </w:t>
      </w:r>
      <w:hyperlink r:id="rId11" w:history="1">
        <w:r w:rsidRPr="002E79E2">
          <w:rPr>
            <w:rStyle w:val="Hyperlink"/>
          </w:rPr>
          <w:t>National Framework for Monitoring and Oversight</w:t>
        </w:r>
      </w:hyperlink>
      <w:bookmarkStart w:id="0" w:name="_GoBack"/>
      <w:bookmarkEnd w:id="0"/>
      <w:r w:rsidRPr="00F06A15">
        <w:t xml:space="preserve"> to meet states’ need to understand the critical components of an effective monitoring approach. The Framework is based on input gathered from monitoring experts at the federal and state levels and highlights the essential elements of an effective system for monitoring and oversight.  Each element is deemed “essential” because it is necessary to ensure a comprehensive approach that drives a continuous improvement cycle beginning with the identification of issues</w:t>
      </w:r>
      <w:r>
        <w:t>,</w:t>
      </w:r>
      <w:r w:rsidRPr="00F06A15">
        <w:t xml:space="preserve"> resolving problems</w:t>
      </w:r>
      <w:r>
        <w:t>,</w:t>
      </w:r>
      <w:r w:rsidRPr="00F06A15">
        <w:t xml:space="preserve"> and sharing best practices.  </w:t>
      </w:r>
    </w:p>
    <w:p w14:paraId="6A6EE5FE" w14:textId="5696FFFE" w:rsidR="00874112" w:rsidRDefault="00874112" w:rsidP="00874112">
      <w:pPr>
        <w:spacing w:before="40" w:after="40"/>
      </w:pPr>
      <w:r>
        <w:t xml:space="preserve">State </w:t>
      </w:r>
      <w:r w:rsidRPr="0059535D">
        <w:t xml:space="preserve">monitoring system </w:t>
      </w:r>
      <w:r>
        <w:t xml:space="preserve">generally </w:t>
      </w:r>
      <w:r w:rsidRPr="0059535D">
        <w:t>work with local areas and other grantees/subgrantees</w:t>
      </w:r>
      <w:r>
        <w:t>. We have used the terms local areas and grantees and subgrantees throughout the self-assessment to accommodate for all state structures</w:t>
      </w:r>
      <w:r w:rsidRPr="0059535D">
        <w:t xml:space="preserve">.  </w:t>
      </w:r>
      <w:r w:rsidRPr="00F06A15">
        <w:t xml:space="preserve">States are encouraged to assess their current monitoring approach against the essential elements in the Framework. This self-assessment was developed as a tool to support that effort by providing indicators of the essential elements, an area for notes and planning as well as references back to each element in the Framework. Should the self-assessment process identify areas for improvement, states are encouraged to engage in internal discussion and planning as well as work with their Federal Project Officers to develop strategies and next steps for improvement. </w:t>
      </w:r>
      <w:r>
        <w:t xml:space="preserve">For </w:t>
      </w:r>
      <w:r w:rsidR="009E4582">
        <w:t>information</w:t>
      </w:r>
      <w:r>
        <w:t xml:space="preserve"> about each of these areas, </w:t>
      </w:r>
      <w:r w:rsidR="004967DF">
        <w:t xml:space="preserve">as </w:t>
      </w:r>
      <w:r w:rsidR="00794AF5">
        <w:t xml:space="preserve">well as monitoring tools developed by other </w:t>
      </w:r>
      <w:r>
        <w:t>s</w:t>
      </w:r>
      <w:r w:rsidR="00B13154">
        <w:t xml:space="preserve">tates, </w:t>
      </w:r>
      <w:r>
        <w:t xml:space="preserve"> see the </w:t>
      </w:r>
      <w:hyperlink r:id="rId12" w:history="1">
        <w:r w:rsidRPr="0083743B">
          <w:rPr>
            <w:rStyle w:val="Hyperlink"/>
          </w:rPr>
          <w:t>Grants Application and Management Community of Practice</w:t>
        </w:r>
      </w:hyperlink>
      <w:r w:rsidR="00B13154">
        <w:t>.</w:t>
      </w:r>
      <w:r>
        <w:t xml:space="preserve">. </w:t>
      </w:r>
      <w:r w:rsidR="00B13154">
        <w:t xml:space="preserve">To </w:t>
      </w:r>
      <w:r w:rsidR="009F0A6E">
        <w:t xml:space="preserve">access related federal monitoring requirements, </w:t>
      </w:r>
      <w:r>
        <w:t xml:space="preserve">see ETA’s </w:t>
      </w:r>
      <w:hyperlink r:id="rId13" w:history="1">
        <w:r w:rsidRPr="0059535D">
          <w:rPr>
            <w:rStyle w:val="Hyperlink"/>
          </w:rPr>
          <w:t>Core Monitoring Guide</w:t>
        </w:r>
      </w:hyperlink>
      <w:r>
        <w:t xml:space="preserve">, Relevant Laws and Regulations (e.g. </w:t>
      </w:r>
      <w:hyperlink r:id="rId14" w:history="1">
        <w:r w:rsidRPr="0059535D">
          <w:rPr>
            <w:rStyle w:val="Hyperlink"/>
          </w:rPr>
          <w:t>WIOA</w:t>
        </w:r>
      </w:hyperlink>
      <w:r>
        <w:t xml:space="preserve">), and the Uniform Guidance at  </w:t>
      </w:r>
      <w:hyperlink r:id="rId15" w:history="1">
        <w:r w:rsidRPr="00C7599B">
          <w:rPr>
            <w:rStyle w:val="Hyperlink"/>
          </w:rPr>
          <w:t>2 CFR Part 200</w:t>
        </w:r>
      </w:hyperlink>
      <w:r>
        <w:t xml:space="preserve"> and </w:t>
      </w:r>
      <w:hyperlink r:id="rId16" w:history="1">
        <w:r w:rsidRPr="00C7599B">
          <w:rPr>
            <w:rStyle w:val="Hyperlink"/>
          </w:rPr>
          <w:t>2 CFR Part 2900</w:t>
        </w:r>
      </w:hyperlink>
      <w:r>
        <w:t>.</w:t>
      </w:r>
    </w:p>
    <w:p w14:paraId="3B7A3796" w14:textId="77777777" w:rsidR="00874112" w:rsidRDefault="00874112" w:rsidP="00874112">
      <w:pPr>
        <w:pStyle w:val="Heading3"/>
      </w:pPr>
      <w:r>
        <w:t>Instructions</w:t>
      </w:r>
    </w:p>
    <w:p w14:paraId="5AB34810" w14:textId="77777777" w:rsidR="00874112" w:rsidRDefault="00874112" w:rsidP="00874112">
      <w:r>
        <w:t xml:space="preserve">Monitoring management and staff are encouraged to carefully read the Framework and then </w:t>
      </w:r>
      <w:r w:rsidRPr="008F6647">
        <w:t>complete th</w:t>
      </w:r>
      <w:r>
        <w:t>is</w:t>
      </w:r>
      <w:r w:rsidRPr="008F6647">
        <w:t xml:space="preserve"> self-assessment. For each of the factors in the sections that follow, select a rating from 1</w:t>
      </w:r>
      <w:r>
        <w:t xml:space="preserve"> to </w:t>
      </w:r>
      <w:r w:rsidRPr="008F6647">
        <w:t>5 that reflects your/your team’s perspective on where your</w:t>
      </w:r>
      <w:r>
        <w:t xml:space="preserve"> state</w:t>
      </w:r>
      <w:r w:rsidRPr="008F6647">
        <w:t xml:space="preserve"> stands. </w:t>
      </w:r>
      <w:r>
        <w:t xml:space="preserve">For example, consider a rating of “1” appropriate if your region is very strong and a “5” if significant improvement is needed. </w:t>
      </w:r>
      <w:r w:rsidRPr="008F6647">
        <w:t>Each team member may choose to complete the assessment individually and then convene to compare answers. Or, you may decide to complete it as a team together.</w:t>
      </w:r>
    </w:p>
    <w:p w14:paraId="7EEC7837" w14:textId="47288C47" w:rsidR="00874112" w:rsidRPr="00AD4EDB" w:rsidRDefault="00874112" w:rsidP="00874112">
      <w:r w:rsidRPr="008F6647">
        <w:t xml:space="preserve">Leave plenty of time to engage in an honest discussion about each indicator (bulleted statements on the left), and to provide thoughtful strategies for addressing challenges </w:t>
      </w:r>
      <w:r>
        <w:t xml:space="preserve">and identifying next steps. </w:t>
      </w:r>
    </w:p>
    <w:p w14:paraId="50CCCC97" w14:textId="77777777" w:rsidR="00874112" w:rsidRDefault="00874112" w:rsidP="00874112">
      <w:pPr>
        <w:pStyle w:val="Heading4"/>
      </w:pPr>
      <w:r>
        <w:lastRenderedPageBreak/>
        <w:t xml:space="preserve">Element 1: </w:t>
      </w:r>
      <w:r w:rsidRPr="00A7718C">
        <w:t>Understanding the Goals and Value of Monitoring and Oversight</w:t>
      </w:r>
    </w:p>
    <w:tbl>
      <w:tblPr>
        <w:tblStyle w:val="TableGridLight"/>
        <w:tblW w:w="10170" w:type="dxa"/>
        <w:tblInd w:w="-365" w:type="dxa"/>
        <w:tblLook w:val="04A0" w:firstRow="1" w:lastRow="0" w:firstColumn="1" w:lastColumn="0" w:noHBand="0" w:noVBand="1"/>
      </w:tblPr>
      <w:tblGrid>
        <w:gridCol w:w="5490"/>
        <w:gridCol w:w="1080"/>
        <w:gridCol w:w="3600"/>
      </w:tblGrid>
      <w:tr w:rsidR="00874112" w14:paraId="79FCB509" w14:textId="77777777" w:rsidTr="00874112">
        <w:trPr>
          <w:trHeight w:val="580"/>
        </w:trPr>
        <w:tc>
          <w:tcPr>
            <w:tcW w:w="5490" w:type="dxa"/>
            <w:shd w:val="clear" w:color="auto" w:fill="0F2F4F" w:themeFill="accent1" w:themeFillShade="80"/>
          </w:tcPr>
          <w:p w14:paraId="5BD1AB60" w14:textId="77777777" w:rsidR="00874112" w:rsidRPr="000625E3" w:rsidRDefault="00874112" w:rsidP="000C6B8B">
            <w:pPr>
              <w:spacing w:before="60" w:after="60"/>
            </w:pPr>
            <w:r w:rsidRPr="000625E3">
              <w:t>Topic Area</w:t>
            </w:r>
          </w:p>
        </w:tc>
        <w:tc>
          <w:tcPr>
            <w:tcW w:w="1080" w:type="dxa"/>
            <w:shd w:val="clear" w:color="auto" w:fill="0F2F4F" w:themeFill="accent1" w:themeFillShade="80"/>
          </w:tcPr>
          <w:p w14:paraId="15A858A5" w14:textId="77777777" w:rsidR="00874112" w:rsidRPr="000625E3" w:rsidRDefault="00874112" w:rsidP="000C6B8B">
            <w:pPr>
              <w:spacing w:before="60" w:after="60"/>
            </w:pPr>
            <w:r w:rsidRPr="000625E3">
              <w:t>Rating (1-5)</w:t>
            </w:r>
          </w:p>
        </w:tc>
        <w:tc>
          <w:tcPr>
            <w:tcW w:w="3600" w:type="dxa"/>
            <w:shd w:val="clear" w:color="auto" w:fill="0F2F4F" w:themeFill="accent1" w:themeFillShade="80"/>
          </w:tcPr>
          <w:p w14:paraId="765D7274" w14:textId="77777777" w:rsidR="00874112" w:rsidRPr="000625E3" w:rsidRDefault="00874112" w:rsidP="000C6B8B">
            <w:pPr>
              <w:spacing w:before="60" w:after="60"/>
            </w:pPr>
            <w:r w:rsidRPr="000625E3">
              <w:t>Notes and Next Steps</w:t>
            </w:r>
          </w:p>
        </w:tc>
      </w:tr>
      <w:tr w:rsidR="00AB119D" w14:paraId="76384809" w14:textId="77777777" w:rsidTr="00AB119D">
        <w:trPr>
          <w:trHeight w:val="372"/>
        </w:trPr>
        <w:tc>
          <w:tcPr>
            <w:tcW w:w="10170" w:type="dxa"/>
            <w:gridSpan w:val="3"/>
            <w:shd w:val="clear" w:color="auto" w:fill="BFBFBF" w:themeFill="background1" w:themeFillShade="BF"/>
          </w:tcPr>
          <w:p w14:paraId="37955059" w14:textId="47FF57D4" w:rsidR="00AB119D" w:rsidRPr="00AB119D" w:rsidRDefault="00AB119D" w:rsidP="000C6B8B">
            <w:pPr>
              <w:spacing w:before="60" w:after="60"/>
              <w:rPr>
                <w:b/>
              </w:rPr>
            </w:pPr>
            <w:r>
              <w:rPr>
                <w:b/>
              </w:rPr>
              <w:t>Monitoring to Meet Statutory and Regulatory Requirements</w:t>
            </w:r>
          </w:p>
        </w:tc>
      </w:tr>
      <w:tr w:rsidR="00AB119D" w14:paraId="45D2309F" w14:textId="77777777" w:rsidTr="00874112">
        <w:trPr>
          <w:trHeight w:val="1160"/>
        </w:trPr>
        <w:tc>
          <w:tcPr>
            <w:tcW w:w="5490" w:type="dxa"/>
          </w:tcPr>
          <w:p w14:paraId="6EBA25DC" w14:textId="77777777" w:rsidR="00AB119D" w:rsidRPr="003F367E" w:rsidRDefault="00AB119D" w:rsidP="000C6B8B">
            <w:pPr>
              <w:pStyle w:val="ListParagraph"/>
              <w:spacing w:before="60" w:after="60"/>
              <w:ind w:left="345"/>
              <w:contextualSpacing w:val="0"/>
            </w:pPr>
            <w:r w:rsidRPr="003F367E">
              <w:t>Our state is aware of the federal requirements for Monitoring and Oversight, including specific provisions regarding the timing and content of reviews as well as when on-site monitoring is required.</w:t>
            </w:r>
          </w:p>
        </w:tc>
        <w:tc>
          <w:tcPr>
            <w:tcW w:w="1080" w:type="dxa"/>
          </w:tcPr>
          <w:p w14:paraId="764B520B" w14:textId="77777777" w:rsidR="00AB119D" w:rsidRPr="00FE5F0C" w:rsidRDefault="00AB119D" w:rsidP="000C6B8B">
            <w:pPr>
              <w:spacing w:before="60" w:after="60"/>
            </w:pPr>
          </w:p>
        </w:tc>
        <w:tc>
          <w:tcPr>
            <w:tcW w:w="3600" w:type="dxa"/>
          </w:tcPr>
          <w:p w14:paraId="42976A34" w14:textId="77777777" w:rsidR="00AB119D" w:rsidRPr="00FE5F0C" w:rsidRDefault="00AB119D" w:rsidP="000C6B8B">
            <w:pPr>
              <w:spacing w:before="60" w:after="60"/>
            </w:pPr>
          </w:p>
        </w:tc>
      </w:tr>
      <w:tr w:rsidR="00AB119D" w14:paraId="564A3712" w14:textId="77777777" w:rsidTr="00874112">
        <w:trPr>
          <w:trHeight w:val="565"/>
        </w:trPr>
        <w:tc>
          <w:tcPr>
            <w:tcW w:w="5490" w:type="dxa"/>
          </w:tcPr>
          <w:p w14:paraId="2BA01489" w14:textId="77777777" w:rsidR="00AB119D" w:rsidRPr="003F367E" w:rsidRDefault="00AB119D" w:rsidP="000C6B8B">
            <w:pPr>
              <w:pStyle w:val="ListParagraph"/>
              <w:spacing w:before="60" w:after="60"/>
              <w:ind w:left="345"/>
              <w:contextualSpacing w:val="0"/>
            </w:pPr>
            <w:r w:rsidRPr="003F367E">
              <w:t>Our state monitoring system meets the federal requirements for monitoring and oversight.</w:t>
            </w:r>
          </w:p>
        </w:tc>
        <w:tc>
          <w:tcPr>
            <w:tcW w:w="1080" w:type="dxa"/>
          </w:tcPr>
          <w:p w14:paraId="37409E44" w14:textId="77777777" w:rsidR="00AB119D" w:rsidRPr="00FE5F0C" w:rsidRDefault="00AB119D" w:rsidP="000C6B8B">
            <w:pPr>
              <w:spacing w:before="60" w:after="60"/>
            </w:pPr>
          </w:p>
        </w:tc>
        <w:tc>
          <w:tcPr>
            <w:tcW w:w="3600" w:type="dxa"/>
          </w:tcPr>
          <w:p w14:paraId="45047005" w14:textId="77777777" w:rsidR="00AB119D" w:rsidRPr="00FE5F0C" w:rsidRDefault="00AB119D" w:rsidP="000C6B8B">
            <w:pPr>
              <w:spacing w:before="60" w:after="60"/>
            </w:pPr>
          </w:p>
        </w:tc>
      </w:tr>
      <w:tr w:rsidR="00AB119D" w14:paraId="53CF4537" w14:textId="77777777" w:rsidTr="00874112">
        <w:trPr>
          <w:trHeight w:val="1145"/>
        </w:trPr>
        <w:tc>
          <w:tcPr>
            <w:tcW w:w="5490" w:type="dxa"/>
          </w:tcPr>
          <w:p w14:paraId="782FA3C6" w14:textId="77777777" w:rsidR="00AB119D" w:rsidRPr="003F367E" w:rsidRDefault="00AB119D" w:rsidP="000C6B8B">
            <w:pPr>
              <w:pStyle w:val="ListParagraph"/>
              <w:spacing w:before="60" w:after="60"/>
              <w:ind w:left="345"/>
              <w:contextualSpacing w:val="0"/>
            </w:pPr>
            <w:r w:rsidRPr="003F367E">
              <w:t>Our state monitoring approach can effectively gauge compliance in key areas such as eligibility determination, appropriate and accurate documentation, and access to and delivery of required services.</w:t>
            </w:r>
          </w:p>
        </w:tc>
        <w:tc>
          <w:tcPr>
            <w:tcW w:w="1080" w:type="dxa"/>
          </w:tcPr>
          <w:p w14:paraId="56AAD4E5" w14:textId="77777777" w:rsidR="00AB119D" w:rsidRPr="00FE5F0C" w:rsidRDefault="00AB119D" w:rsidP="000C6B8B">
            <w:pPr>
              <w:spacing w:before="60" w:after="60"/>
            </w:pPr>
          </w:p>
        </w:tc>
        <w:tc>
          <w:tcPr>
            <w:tcW w:w="3600" w:type="dxa"/>
          </w:tcPr>
          <w:p w14:paraId="72B639AB" w14:textId="77777777" w:rsidR="00AB119D" w:rsidRPr="00FE5F0C" w:rsidRDefault="00AB119D" w:rsidP="000C6B8B">
            <w:pPr>
              <w:spacing w:before="60" w:after="60"/>
            </w:pPr>
          </w:p>
        </w:tc>
      </w:tr>
      <w:tr w:rsidR="00AB119D" w14:paraId="02B87C21" w14:textId="77777777" w:rsidTr="00874112">
        <w:trPr>
          <w:trHeight w:val="580"/>
        </w:trPr>
        <w:tc>
          <w:tcPr>
            <w:tcW w:w="5490" w:type="dxa"/>
          </w:tcPr>
          <w:p w14:paraId="519F1EA1" w14:textId="77777777" w:rsidR="00AB119D" w:rsidRPr="003F367E" w:rsidRDefault="00AB119D" w:rsidP="000C6B8B">
            <w:pPr>
              <w:pStyle w:val="ListParagraph"/>
              <w:spacing w:before="60" w:after="60"/>
              <w:ind w:left="345"/>
              <w:contextualSpacing w:val="0"/>
            </w:pPr>
            <w:r w:rsidRPr="003F367E">
              <w:t xml:space="preserve">Our monitoring system looks at the quality of services delivered, and outcomes achieved.  </w:t>
            </w:r>
          </w:p>
        </w:tc>
        <w:tc>
          <w:tcPr>
            <w:tcW w:w="1080" w:type="dxa"/>
          </w:tcPr>
          <w:p w14:paraId="6066E38C" w14:textId="77777777" w:rsidR="00AB119D" w:rsidRPr="00FE5F0C" w:rsidRDefault="00AB119D" w:rsidP="000C6B8B">
            <w:pPr>
              <w:spacing w:before="60" w:after="60"/>
            </w:pPr>
          </w:p>
        </w:tc>
        <w:tc>
          <w:tcPr>
            <w:tcW w:w="3600" w:type="dxa"/>
          </w:tcPr>
          <w:p w14:paraId="663462A0" w14:textId="77777777" w:rsidR="00AB119D" w:rsidRPr="00FE5F0C" w:rsidRDefault="00AB119D" w:rsidP="000C6B8B">
            <w:pPr>
              <w:spacing w:before="60" w:after="60"/>
            </w:pPr>
          </w:p>
        </w:tc>
      </w:tr>
      <w:tr w:rsidR="00AB119D" w14:paraId="57B8CF42" w14:textId="77777777" w:rsidTr="00874112">
        <w:trPr>
          <w:trHeight w:val="282"/>
        </w:trPr>
        <w:tc>
          <w:tcPr>
            <w:tcW w:w="5490" w:type="dxa"/>
            <w:shd w:val="clear" w:color="auto" w:fill="BFBFBF" w:themeFill="background1" w:themeFillShade="BF"/>
          </w:tcPr>
          <w:p w14:paraId="7A7EB5F5" w14:textId="77777777" w:rsidR="00AB119D" w:rsidRPr="00874112" w:rsidRDefault="00AB119D" w:rsidP="000C6B8B">
            <w:pPr>
              <w:spacing w:before="60" w:after="60"/>
              <w:rPr>
                <w:b/>
              </w:rPr>
            </w:pPr>
            <w:r w:rsidRPr="00874112">
              <w:rPr>
                <w:b/>
              </w:rPr>
              <w:t>To drive continuous improvement</w:t>
            </w:r>
          </w:p>
        </w:tc>
        <w:tc>
          <w:tcPr>
            <w:tcW w:w="1080" w:type="dxa"/>
            <w:shd w:val="clear" w:color="auto" w:fill="BFBFBF" w:themeFill="background1" w:themeFillShade="BF"/>
          </w:tcPr>
          <w:p w14:paraId="6A176C25" w14:textId="77777777" w:rsidR="00AB119D" w:rsidRPr="00FE5F0C" w:rsidRDefault="00AB119D" w:rsidP="000C6B8B">
            <w:pPr>
              <w:spacing w:before="60" w:after="60"/>
            </w:pPr>
          </w:p>
        </w:tc>
        <w:tc>
          <w:tcPr>
            <w:tcW w:w="3600" w:type="dxa"/>
            <w:shd w:val="clear" w:color="auto" w:fill="BFBFBF" w:themeFill="background1" w:themeFillShade="BF"/>
          </w:tcPr>
          <w:p w14:paraId="1F9CA6D4" w14:textId="77777777" w:rsidR="00AB119D" w:rsidRPr="00FE5F0C" w:rsidRDefault="00AB119D" w:rsidP="000C6B8B">
            <w:pPr>
              <w:spacing w:before="60" w:after="60"/>
            </w:pPr>
          </w:p>
        </w:tc>
      </w:tr>
      <w:tr w:rsidR="00AB119D" w14:paraId="7C4D7BBC" w14:textId="77777777" w:rsidTr="00874112">
        <w:trPr>
          <w:trHeight w:val="1458"/>
        </w:trPr>
        <w:tc>
          <w:tcPr>
            <w:tcW w:w="5490" w:type="dxa"/>
          </w:tcPr>
          <w:p w14:paraId="67F3F250" w14:textId="77777777" w:rsidR="00AB119D" w:rsidRPr="0059693A" w:rsidRDefault="00AB119D" w:rsidP="000C6B8B">
            <w:pPr>
              <w:pStyle w:val="ListParagraph"/>
              <w:spacing w:before="60" w:after="60"/>
              <w:ind w:left="345"/>
              <w:contextualSpacing w:val="0"/>
              <w:rPr>
                <w:b/>
              </w:rPr>
            </w:pPr>
            <w:r>
              <w:t>Our monitoring system drives continuous</w:t>
            </w:r>
            <w:r w:rsidRPr="0059693A">
              <w:t xml:space="preserve"> </w:t>
            </w:r>
            <w:r w:rsidRPr="003F367E">
              <w:t>improvement</w:t>
            </w:r>
            <w:r>
              <w:t xml:space="preserve"> through</w:t>
            </w:r>
            <w:r w:rsidRPr="0059693A">
              <w:t xml:space="preserve"> corrective action, training &amp; technical assistance, which can lead to compliance and effectiveness and improved performance resulting in sustained funding and return on investment.</w:t>
            </w:r>
          </w:p>
        </w:tc>
        <w:tc>
          <w:tcPr>
            <w:tcW w:w="1080" w:type="dxa"/>
          </w:tcPr>
          <w:p w14:paraId="14A3D104" w14:textId="77777777" w:rsidR="00AB119D" w:rsidRPr="00FE5F0C" w:rsidRDefault="00AB119D" w:rsidP="000C6B8B">
            <w:pPr>
              <w:spacing w:before="60" w:after="60"/>
            </w:pPr>
          </w:p>
        </w:tc>
        <w:tc>
          <w:tcPr>
            <w:tcW w:w="3600" w:type="dxa"/>
          </w:tcPr>
          <w:p w14:paraId="6B9633C8" w14:textId="77777777" w:rsidR="00AB119D" w:rsidRPr="00FE5F0C" w:rsidRDefault="00AB119D" w:rsidP="000C6B8B">
            <w:pPr>
              <w:spacing w:before="60" w:after="60"/>
            </w:pPr>
          </w:p>
        </w:tc>
      </w:tr>
      <w:tr w:rsidR="00AB119D" w14:paraId="554359E7" w14:textId="77777777" w:rsidTr="00874112">
        <w:trPr>
          <w:trHeight w:val="282"/>
        </w:trPr>
        <w:tc>
          <w:tcPr>
            <w:tcW w:w="5490" w:type="dxa"/>
            <w:shd w:val="clear" w:color="auto" w:fill="BFBFBF" w:themeFill="background1" w:themeFillShade="BF"/>
          </w:tcPr>
          <w:p w14:paraId="4390D3B5" w14:textId="77777777" w:rsidR="00AB119D" w:rsidRPr="00874112" w:rsidRDefault="00AB119D" w:rsidP="000C6B8B">
            <w:pPr>
              <w:spacing w:before="60" w:after="60"/>
              <w:rPr>
                <w:b/>
              </w:rPr>
            </w:pPr>
            <w:r w:rsidRPr="00874112">
              <w:rPr>
                <w:b/>
              </w:rPr>
              <w:t>To advance strategic priorities</w:t>
            </w:r>
          </w:p>
        </w:tc>
        <w:tc>
          <w:tcPr>
            <w:tcW w:w="1080" w:type="dxa"/>
            <w:shd w:val="clear" w:color="auto" w:fill="BFBFBF" w:themeFill="background1" w:themeFillShade="BF"/>
          </w:tcPr>
          <w:p w14:paraId="26169CB3" w14:textId="77777777" w:rsidR="00AB119D" w:rsidRPr="00FE5F0C" w:rsidRDefault="00AB119D" w:rsidP="000C6B8B">
            <w:pPr>
              <w:spacing w:before="60" w:after="60"/>
            </w:pPr>
          </w:p>
        </w:tc>
        <w:tc>
          <w:tcPr>
            <w:tcW w:w="3600" w:type="dxa"/>
            <w:shd w:val="clear" w:color="auto" w:fill="BFBFBF" w:themeFill="background1" w:themeFillShade="BF"/>
          </w:tcPr>
          <w:p w14:paraId="4C863F9D" w14:textId="77777777" w:rsidR="00AB119D" w:rsidRPr="00FE5F0C" w:rsidRDefault="00AB119D" w:rsidP="000C6B8B">
            <w:pPr>
              <w:spacing w:before="60" w:after="60"/>
            </w:pPr>
          </w:p>
        </w:tc>
      </w:tr>
      <w:tr w:rsidR="00AB119D" w14:paraId="55452F0E" w14:textId="77777777" w:rsidTr="00874112">
        <w:trPr>
          <w:trHeight w:val="863"/>
        </w:trPr>
        <w:tc>
          <w:tcPr>
            <w:tcW w:w="5490" w:type="dxa"/>
          </w:tcPr>
          <w:p w14:paraId="13DCD407" w14:textId="77777777" w:rsidR="00AB119D" w:rsidRPr="00DC3D91" w:rsidRDefault="00AB119D" w:rsidP="000C6B8B">
            <w:pPr>
              <w:pStyle w:val="ListParagraph"/>
              <w:spacing w:before="60" w:after="60"/>
              <w:ind w:left="345"/>
              <w:contextualSpacing w:val="0"/>
            </w:pPr>
            <w:r>
              <w:t>Our monitoring approach looks at whether the local area is advancing strategic priorities consistent with the board’s local plans.</w:t>
            </w:r>
          </w:p>
        </w:tc>
        <w:tc>
          <w:tcPr>
            <w:tcW w:w="1080" w:type="dxa"/>
          </w:tcPr>
          <w:p w14:paraId="19BED39B" w14:textId="77777777" w:rsidR="00AB119D" w:rsidRPr="00FE5F0C" w:rsidRDefault="00AB119D" w:rsidP="000C6B8B">
            <w:pPr>
              <w:spacing w:before="60" w:after="60"/>
            </w:pPr>
          </w:p>
        </w:tc>
        <w:tc>
          <w:tcPr>
            <w:tcW w:w="3600" w:type="dxa"/>
          </w:tcPr>
          <w:p w14:paraId="48C8AA97" w14:textId="77777777" w:rsidR="00AB119D" w:rsidRPr="00FE5F0C" w:rsidRDefault="00AB119D" w:rsidP="000C6B8B">
            <w:pPr>
              <w:spacing w:before="60" w:after="60"/>
            </w:pPr>
          </w:p>
        </w:tc>
      </w:tr>
    </w:tbl>
    <w:p w14:paraId="5A2B21DF" w14:textId="77777777" w:rsidR="00874112" w:rsidRDefault="00874112" w:rsidP="00874112"/>
    <w:p w14:paraId="70E6985F" w14:textId="1B2F7A42" w:rsidR="00874112" w:rsidRPr="00874112" w:rsidRDefault="00874112" w:rsidP="00874112">
      <w:pPr>
        <w:rPr>
          <w:rFonts w:asciiTheme="majorHAnsi" w:eastAsiaTheme="majorEastAsia" w:hAnsiTheme="majorHAnsi" w:cstheme="majorBidi"/>
          <w:sz w:val="32"/>
          <w:szCs w:val="32"/>
        </w:rPr>
      </w:pPr>
      <w:r>
        <w:br w:type="page"/>
      </w:r>
    </w:p>
    <w:p w14:paraId="1E67762D" w14:textId="77777777" w:rsidR="00874112" w:rsidRDefault="00874112" w:rsidP="00874112">
      <w:pPr>
        <w:pStyle w:val="Heading4"/>
      </w:pPr>
      <w:r>
        <w:lastRenderedPageBreak/>
        <w:t xml:space="preserve">Element 2: </w:t>
      </w:r>
      <w:r w:rsidRPr="00A7718C">
        <w:t>Building Organizational Support and Capacity for Monitoring</w:t>
      </w:r>
    </w:p>
    <w:tbl>
      <w:tblPr>
        <w:tblStyle w:val="TableGridLight"/>
        <w:tblW w:w="10170" w:type="dxa"/>
        <w:tblInd w:w="-365" w:type="dxa"/>
        <w:tblLook w:val="04A0" w:firstRow="1" w:lastRow="0" w:firstColumn="1" w:lastColumn="0" w:noHBand="0" w:noVBand="1"/>
      </w:tblPr>
      <w:tblGrid>
        <w:gridCol w:w="5490"/>
        <w:gridCol w:w="1080"/>
        <w:gridCol w:w="3600"/>
      </w:tblGrid>
      <w:tr w:rsidR="00874112" w14:paraId="34343D02" w14:textId="77777777" w:rsidTr="00874112">
        <w:trPr>
          <w:trHeight w:val="545"/>
          <w:tblHeader/>
        </w:trPr>
        <w:tc>
          <w:tcPr>
            <w:tcW w:w="5490" w:type="dxa"/>
            <w:shd w:val="clear" w:color="auto" w:fill="0F2F4F" w:themeFill="accent1" w:themeFillShade="80"/>
          </w:tcPr>
          <w:p w14:paraId="022D5CDD" w14:textId="77777777" w:rsidR="00874112" w:rsidRPr="00684FEA" w:rsidRDefault="00874112" w:rsidP="000C6B8B">
            <w:pPr>
              <w:spacing w:before="60" w:after="60"/>
            </w:pPr>
            <w:r w:rsidRPr="00684FEA">
              <w:t>Topic Area</w:t>
            </w:r>
          </w:p>
        </w:tc>
        <w:tc>
          <w:tcPr>
            <w:tcW w:w="1080" w:type="dxa"/>
            <w:shd w:val="clear" w:color="auto" w:fill="0F2F4F" w:themeFill="accent1" w:themeFillShade="80"/>
          </w:tcPr>
          <w:p w14:paraId="21504CD3" w14:textId="77777777" w:rsidR="00874112" w:rsidRPr="00684FEA" w:rsidRDefault="00874112" w:rsidP="000C6B8B">
            <w:pPr>
              <w:spacing w:before="60" w:after="60"/>
            </w:pPr>
            <w:r w:rsidRPr="00684FEA">
              <w:t>Rating (1-5)</w:t>
            </w:r>
          </w:p>
        </w:tc>
        <w:tc>
          <w:tcPr>
            <w:tcW w:w="3600" w:type="dxa"/>
            <w:shd w:val="clear" w:color="auto" w:fill="0F2F4F" w:themeFill="accent1" w:themeFillShade="80"/>
          </w:tcPr>
          <w:p w14:paraId="209FF986" w14:textId="77777777" w:rsidR="00874112" w:rsidRPr="00684FEA" w:rsidRDefault="00874112" w:rsidP="000C6B8B">
            <w:pPr>
              <w:spacing w:before="60" w:after="60"/>
            </w:pPr>
            <w:r w:rsidRPr="00684FEA">
              <w:t>Notes and Next Steps</w:t>
            </w:r>
          </w:p>
        </w:tc>
      </w:tr>
      <w:tr w:rsidR="00874112" w14:paraId="2F53A5C4" w14:textId="77777777" w:rsidTr="00874112">
        <w:trPr>
          <w:trHeight w:val="265"/>
        </w:trPr>
        <w:tc>
          <w:tcPr>
            <w:tcW w:w="5490" w:type="dxa"/>
            <w:shd w:val="clear" w:color="auto" w:fill="BFBFBF" w:themeFill="background1" w:themeFillShade="BF"/>
          </w:tcPr>
          <w:p w14:paraId="53153976" w14:textId="77777777" w:rsidR="00874112" w:rsidRPr="00874112" w:rsidRDefault="00874112" w:rsidP="000C6B8B">
            <w:pPr>
              <w:spacing w:before="60" w:after="60"/>
              <w:rPr>
                <w:b/>
                <w:bCs/>
              </w:rPr>
            </w:pPr>
            <w:r w:rsidRPr="00874112">
              <w:rPr>
                <w:b/>
              </w:rPr>
              <w:t>Effective monitoring structure</w:t>
            </w:r>
          </w:p>
        </w:tc>
        <w:tc>
          <w:tcPr>
            <w:tcW w:w="1080" w:type="dxa"/>
            <w:shd w:val="clear" w:color="auto" w:fill="BFBFBF" w:themeFill="background1" w:themeFillShade="BF"/>
          </w:tcPr>
          <w:p w14:paraId="704A457F" w14:textId="77777777" w:rsidR="00874112" w:rsidRPr="00FE5F0C" w:rsidRDefault="00874112" w:rsidP="000C6B8B">
            <w:pPr>
              <w:spacing w:before="60" w:after="60"/>
            </w:pPr>
          </w:p>
        </w:tc>
        <w:tc>
          <w:tcPr>
            <w:tcW w:w="3600" w:type="dxa"/>
            <w:shd w:val="clear" w:color="auto" w:fill="BFBFBF" w:themeFill="background1" w:themeFillShade="BF"/>
          </w:tcPr>
          <w:p w14:paraId="6C590CF9" w14:textId="77777777" w:rsidR="00874112" w:rsidRPr="00FE5F0C" w:rsidRDefault="00874112" w:rsidP="000C6B8B">
            <w:pPr>
              <w:spacing w:before="60" w:after="60"/>
            </w:pPr>
          </w:p>
        </w:tc>
      </w:tr>
      <w:tr w:rsidR="00874112" w14:paraId="513B2DED" w14:textId="77777777" w:rsidTr="00874112">
        <w:trPr>
          <w:trHeight w:val="1091"/>
        </w:trPr>
        <w:tc>
          <w:tcPr>
            <w:tcW w:w="5490" w:type="dxa"/>
          </w:tcPr>
          <w:p w14:paraId="370B2D0A" w14:textId="77777777" w:rsidR="00874112" w:rsidRPr="00A3719F" w:rsidRDefault="00874112" w:rsidP="000C6B8B">
            <w:pPr>
              <w:pStyle w:val="ListParagraph"/>
              <w:spacing w:before="60" w:after="60"/>
              <w:ind w:left="345"/>
              <w:contextualSpacing w:val="0"/>
            </w:pPr>
            <w:r w:rsidRPr="00A3719F">
              <w:t>Our management team considered the size and structure of the local system, monitoring requirements, grant portfolio, capacity, and efficiency when deciding on our state’s monitoring structure.</w:t>
            </w:r>
          </w:p>
        </w:tc>
        <w:tc>
          <w:tcPr>
            <w:tcW w:w="1080" w:type="dxa"/>
          </w:tcPr>
          <w:p w14:paraId="42CBB47F" w14:textId="77777777" w:rsidR="00874112" w:rsidRPr="00FE5F0C" w:rsidRDefault="00874112" w:rsidP="000C6B8B">
            <w:pPr>
              <w:spacing w:before="60" w:after="60"/>
            </w:pPr>
          </w:p>
        </w:tc>
        <w:tc>
          <w:tcPr>
            <w:tcW w:w="3600" w:type="dxa"/>
          </w:tcPr>
          <w:p w14:paraId="1BD83A24" w14:textId="77777777" w:rsidR="00874112" w:rsidRPr="00FE5F0C" w:rsidRDefault="00874112" w:rsidP="000C6B8B">
            <w:pPr>
              <w:spacing w:before="60" w:after="60"/>
            </w:pPr>
          </w:p>
        </w:tc>
      </w:tr>
      <w:tr w:rsidR="00874112" w14:paraId="52C70A3B" w14:textId="77777777" w:rsidTr="00874112">
        <w:trPr>
          <w:trHeight w:val="531"/>
        </w:trPr>
        <w:tc>
          <w:tcPr>
            <w:tcW w:w="5490" w:type="dxa"/>
          </w:tcPr>
          <w:p w14:paraId="665DB570" w14:textId="77777777" w:rsidR="00874112" w:rsidRPr="00A3719F" w:rsidRDefault="00874112" w:rsidP="000C6B8B">
            <w:pPr>
              <w:pStyle w:val="ListParagraph"/>
              <w:spacing w:before="60" w:after="60"/>
              <w:ind w:left="345"/>
              <w:contextualSpacing w:val="0"/>
            </w:pPr>
            <w:r w:rsidRPr="00A3719F">
              <w:t xml:space="preserve">The size and structure of our monitoring team supports the work required. </w:t>
            </w:r>
          </w:p>
        </w:tc>
        <w:tc>
          <w:tcPr>
            <w:tcW w:w="1080" w:type="dxa"/>
          </w:tcPr>
          <w:p w14:paraId="34066972" w14:textId="77777777" w:rsidR="00874112" w:rsidRPr="00FE5F0C" w:rsidRDefault="00874112" w:rsidP="000C6B8B">
            <w:pPr>
              <w:spacing w:before="60" w:after="60"/>
            </w:pPr>
          </w:p>
        </w:tc>
        <w:tc>
          <w:tcPr>
            <w:tcW w:w="3600" w:type="dxa"/>
          </w:tcPr>
          <w:p w14:paraId="7508197F" w14:textId="77777777" w:rsidR="00874112" w:rsidRPr="00FE5F0C" w:rsidRDefault="00874112" w:rsidP="000C6B8B">
            <w:pPr>
              <w:spacing w:before="60" w:after="60"/>
            </w:pPr>
          </w:p>
        </w:tc>
      </w:tr>
      <w:tr w:rsidR="00AB119D" w14:paraId="1FDD74B5" w14:textId="77777777" w:rsidTr="00AB119D">
        <w:trPr>
          <w:trHeight w:val="390"/>
        </w:trPr>
        <w:tc>
          <w:tcPr>
            <w:tcW w:w="10170" w:type="dxa"/>
            <w:gridSpan w:val="3"/>
            <w:shd w:val="clear" w:color="auto" w:fill="BFBFBF" w:themeFill="background1" w:themeFillShade="BF"/>
          </w:tcPr>
          <w:p w14:paraId="068E65A1" w14:textId="2760A4C2" w:rsidR="00AB119D" w:rsidRPr="00AB119D" w:rsidRDefault="00AB119D" w:rsidP="000C6B8B">
            <w:pPr>
              <w:spacing w:before="60" w:after="60"/>
              <w:rPr>
                <w:b/>
              </w:rPr>
            </w:pPr>
            <w:r w:rsidRPr="00AB119D">
              <w:rPr>
                <w:b/>
              </w:rPr>
              <w:t>Written Monitoring Policies and Procedures to Ensure Clear Understanding</w:t>
            </w:r>
          </w:p>
        </w:tc>
      </w:tr>
      <w:tr w:rsidR="00874112" w14:paraId="35DABCA2" w14:textId="77777777" w:rsidTr="00874112">
        <w:trPr>
          <w:trHeight w:val="1091"/>
        </w:trPr>
        <w:tc>
          <w:tcPr>
            <w:tcW w:w="5490" w:type="dxa"/>
          </w:tcPr>
          <w:p w14:paraId="38E06542" w14:textId="77777777" w:rsidR="00874112" w:rsidRPr="00A3719F" w:rsidRDefault="00874112" w:rsidP="000C6B8B">
            <w:pPr>
              <w:pStyle w:val="ListParagraph"/>
              <w:spacing w:before="60" w:after="60"/>
              <w:ind w:left="345"/>
              <w:contextualSpacing w:val="0"/>
            </w:pPr>
            <w:r w:rsidRPr="00A3719F">
              <w:t>Our state monitoring policy includes objectives, definitions of key monitoring terms, definitions of state and local monitoring roles, and identified actions including a resolution process.</w:t>
            </w:r>
          </w:p>
        </w:tc>
        <w:tc>
          <w:tcPr>
            <w:tcW w:w="1080" w:type="dxa"/>
          </w:tcPr>
          <w:p w14:paraId="13995711" w14:textId="77777777" w:rsidR="00874112" w:rsidRPr="00FE5F0C" w:rsidRDefault="00874112" w:rsidP="000C6B8B">
            <w:pPr>
              <w:spacing w:before="60" w:after="60"/>
            </w:pPr>
          </w:p>
        </w:tc>
        <w:tc>
          <w:tcPr>
            <w:tcW w:w="3600" w:type="dxa"/>
          </w:tcPr>
          <w:p w14:paraId="7CADE297" w14:textId="77777777" w:rsidR="00874112" w:rsidRPr="00FE5F0C" w:rsidRDefault="00874112" w:rsidP="000C6B8B">
            <w:pPr>
              <w:spacing w:before="60" w:after="60"/>
            </w:pPr>
          </w:p>
        </w:tc>
      </w:tr>
      <w:tr w:rsidR="00874112" w14:paraId="75BBB9B1" w14:textId="77777777" w:rsidTr="00874112">
        <w:trPr>
          <w:trHeight w:val="1371"/>
        </w:trPr>
        <w:tc>
          <w:tcPr>
            <w:tcW w:w="5490" w:type="dxa"/>
          </w:tcPr>
          <w:p w14:paraId="23835D68" w14:textId="77777777" w:rsidR="00874112" w:rsidRPr="00A3719F" w:rsidRDefault="00874112" w:rsidP="000C6B8B">
            <w:pPr>
              <w:pStyle w:val="ListParagraph"/>
              <w:spacing w:before="60" w:after="60"/>
              <w:ind w:left="345"/>
              <w:contextualSpacing w:val="0"/>
            </w:pPr>
            <w:r w:rsidRPr="00A3719F">
              <w:t>Our state monitoring procedures include areas of focus and priorities, state monitoring activities, state and local responsibilities, local responsibilities for monitoring subrecipients, and commitments/ expectations regarding monitoring reports and issue resolution.</w:t>
            </w:r>
          </w:p>
        </w:tc>
        <w:tc>
          <w:tcPr>
            <w:tcW w:w="1080" w:type="dxa"/>
          </w:tcPr>
          <w:p w14:paraId="01A32E5C" w14:textId="77777777" w:rsidR="00874112" w:rsidRPr="00FE5F0C" w:rsidRDefault="00874112" w:rsidP="000C6B8B">
            <w:pPr>
              <w:spacing w:before="60" w:after="60"/>
            </w:pPr>
          </w:p>
        </w:tc>
        <w:tc>
          <w:tcPr>
            <w:tcW w:w="3600" w:type="dxa"/>
          </w:tcPr>
          <w:p w14:paraId="6C362F26" w14:textId="77777777" w:rsidR="00874112" w:rsidRPr="00FE5F0C" w:rsidRDefault="00874112" w:rsidP="000C6B8B">
            <w:pPr>
              <w:spacing w:before="60" w:after="60"/>
            </w:pPr>
          </w:p>
        </w:tc>
      </w:tr>
      <w:tr w:rsidR="00AB119D" w14:paraId="40A70A8F" w14:textId="77777777" w:rsidTr="00AB119D">
        <w:trPr>
          <w:trHeight w:val="265"/>
        </w:trPr>
        <w:tc>
          <w:tcPr>
            <w:tcW w:w="10170" w:type="dxa"/>
            <w:gridSpan w:val="3"/>
            <w:shd w:val="clear" w:color="auto" w:fill="BFBFBF" w:themeFill="background1" w:themeFillShade="BF"/>
          </w:tcPr>
          <w:p w14:paraId="46803CBD" w14:textId="15BC164B" w:rsidR="00AB119D" w:rsidRPr="00AB119D" w:rsidRDefault="00AB119D" w:rsidP="000C6B8B">
            <w:pPr>
              <w:spacing w:before="60" w:after="60"/>
              <w:rPr>
                <w:b/>
              </w:rPr>
            </w:pPr>
            <w:r w:rsidRPr="00AB119D">
              <w:rPr>
                <w:b/>
              </w:rPr>
              <w:t>Training to Ensure Skills and Capacity of Staff Performing Monitoring Functions</w:t>
            </w:r>
          </w:p>
        </w:tc>
      </w:tr>
      <w:tr w:rsidR="00874112" w14:paraId="1D7393BB" w14:textId="77777777" w:rsidTr="00874112">
        <w:trPr>
          <w:trHeight w:val="265"/>
        </w:trPr>
        <w:tc>
          <w:tcPr>
            <w:tcW w:w="5490" w:type="dxa"/>
          </w:tcPr>
          <w:p w14:paraId="3DCFAE77" w14:textId="77777777" w:rsidR="00874112" w:rsidRPr="00A3719F" w:rsidRDefault="00874112" w:rsidP="000C6B8B">
            <w:pPr>
              <w:pStyle w:val="ListParagraph"/>
              <w:spacing w:before="60" w:after="60"/>
              <w:ind w:left="345"/>
              <w:contextualSpacing w:val="0"/>
            </w:pPr>
            <w:r w:rsidRPr="00A3719F">
              <w:t>Our state has a training plan in place for new monitors.</w:t>
            </w:r>
          </w:p>
        </w:tc>
        <w:tc>
          <w:tcPr>
            <w:tcW w:w="1080" w:type="dxa"/>
          </w:tcPr>
          <w:p w14:paraId="6364EC1C" w14:textId="77777777" w:rsidR="00874112" w:rsidRPr="00FE5F0C" w:rsidRDefault="00874112" w:rsidP="000C6B8B">
            <w:pPr>
              <w:spacing w:before="60" w:after="60"/>
            </w:pPr>
          </w:p>
        </w:tc>
        <w:tc>
          <w:tcPr>
            <w:tcW w:w="3600" w:type="dxa"/>
          </w:tcPr>
          <w:p w14:paraId="31C2E90E" w14:textId="77777777" w:rsidR="00874112" w:rsidRPr="00FE5F0C" w:rsidRDefault="00874112" w:rsidP="000C6B8B">
            <w:pPr>
              <w:spacing w:before="60" w:after="60"/>
            </w:pPr>
          </w:p>
        </w:tc>
      </w:tr>
      <w:tr w:rsidR="00874112" w14:paraId="66C77564" w14:textId="77777777" w:rsidTr="00874112">
        <w:trPr>
          <w:trHeight w:val="1091"/>
        </w:trPr>
        <w:tc>
          <w:tcPr>
            <w:tcW w:w="5490" w:type="dxa"/>
          </w:tcPr>
          <w:p w14:paraId="75F73802" w14:textId="77777777" w:rsidR="00874112" w:rsidRPr="00A3719F" w:rsidRDefault="00874112" w:rsidP="000C6B8B">
            <w:pPr>
              <w:pStyle w:val="ListParagraph"/>
              <w:spacing w:before="60" w:after="60"/>
              <w:ind w:left="345"/>
              <w:contextualSpacing w:val="0"/>
            </w:pPr>
            <w:r>
              <w:t>Our state monitoring training plan includes an overview of policies and grant requirements, job shadowing/mentoring, supervised monitoring, and ongoing learning.</w:t>
            </w:r>
          </w:p>
        </w:tc>
        <w:tc>
          <w:tcPr>
            <w:tcW w:w="1080" w:type="dxa"/>
          </w:tcPr>
          <w:p w14:paraId="282CA515" w14:textId="77777777" w:rsidR="00874112" w:rsidRPr="00FE5F0C" w:rsidRDefault="00874112" w:rsidP="000C6B8B">
            <w:pPr>
              <w:spacing w:before="60" w:after="60"/>
            </w:pPr>
          </w:p>
        </w:tc>
        <w:tc>
          <w:tcPr>
            <w:tcW w:w="3600" w:type="dxa"/>
          </w:tcPr>
          <w:p w14:paraId="53C5CFF3" w14:textId="77777777" w:rsidR="00874112" w:rsidRPr="00FE5F0C" w:rsidRDefault="00874112" w:rsidP="000C6B8B">
            <w:pPr>
              <w:spacing w:before="60" w:after="60"/>
            </w:pPr>
          </w:p>
        </w:tc>
      </w:tr>
      <w:tr w:rsidR="00AB119D" w14:paraId="2777587A" w14:textId="77777777" w:rsidTr="003C66A7">
        <w:trPr>
          <w:trHeight w:val="408"/>
        </w:trPr>
        <w:tc>
          <w:tcPr>
            <w:tcW w:w="10170" w:type="dxa"/>
            <w:gridSpan w:val="3"/>
            <w:shd w:val="clear" w:color="auto" w:fill="BFBFBF" w:themeFill="background1" w:themeFillShade="BF"/>
          </w:tcPr>
          <w:p w14:paraId="1EEA8EDC" w14:textId="6FA21949" w:rsidR="00AB119D" w:rsidRPr="00AB119D" w:rsidRDefault="00AB119D" w:rsidP="000C6B8B">
            <w:pPr>
              <w:spacing w:before="60" w:after="60"/>
              <w:rPr>
                <w:b/>
              </w:rPr>
            </w:pPr>
            <w:r w:rsidRPr="00AB119D">
              <w:rPr>
                <w:b/>
              </w:rPr>
              <w:t>Consistent and Comprehensive Communication Across Monitoring and Other Staff</w:t>
            </w:r>
          </w:p>
        </w:tc>
      </w:tr>
      <w:tr w:rsidR="00874112" w14:paraId="746646B3" w14:textId="77777777" w:rsidTr="00874112">
        <w:trPr>
          <w:trHeight w:val="1077"/>
        </w:trPr>
        <w:tc>
          <w:tcPr>
            <w:tcW w:w="5490" w:type="dxa"/>
          </w:tcPr>
          <w:p w14:paraId="0CEF6E8C" w14:textId="77777777" w:rsidR="00874112" w:rsidRPr="00A3719F" w:rsidRDefault="00874112" w:rsidP="000C6B8B">
            <w:pPr>
              <w:pStyle w:val="ListParagraph"/>
              <w:spacing w:before="60" w:after="60"/>
              <w:ind w:left="345"/>
              <w:contextualSpacing w:val="0"/>
            </w:pPr>
            <w:r>
              <w:t>Our state monitoring system includes protocols to ensure ongoing communication between the monitoring staff and the staff of other related units such as policy, fiscal, and performance.</w:t>
            </w:r>
          </w:p>
        </w:tc>
        <w:tc>
          <w:tcPr>
            <w:tcW w:w="1080" w:type="dxa"/>
          </w:tcPr>
          <w:p w14:paraId="5870B5F1" w14:textId="77777777" w:rsidR="00874112" w:rsidRPr="00FE5F0C" w:rsidRDefault="00874112" w:rsidP="000C6B8B">
            <w:pPr>
              <w:spacing w:before="60" w:after="60"/>
            </w:pPr>
          </w:p>
        </w:tc>
        <w:tc>
          <w:tcPr>
            <w:tcW w:w="3600" w:type="dxa"/>
          </w:tcPr>
          <w:p w14:paraId="7700CA85" w14:textId="77777777" w:rsidR="00874112" w:rsidRPr="00FE5F0C" w:rsidRDefault="00874112" w:rsidP="000C6B8B">
            <w:pPr>
              <w:spacing w:before="60" w:after="60"/>
            </w:pPr>
          </w:p>
        </w:tc>
      </w:tr>
    </w:tbl>
    <w:p w14:paraId="74A98B81" w14:textId="77777777" w:rsidR="00874112" w:rsidRDefault="00874112" w:rsidP="00874112">
      <w:pPr>
        <w:pStyle w:val="Heading4"/>
      </w:pPr>
      <w:r>
        <w:lastRenderedPageBreak/>
        <w:t xml:space="preserve">Element 3: </w:t>
      </w:r>
      <w:r w:rsidRPr="00A7718C">
        <w:t>Establishing and Sustaining Effective Relationships</w:t>
      </w:r>
    </w:p>
    <w:tbl>
      <w:tblPr>
        <w:tblStyle w:val="TableGridLight"/>
        <w:tblW w:w="10170" w:type="dxa"/>
        <w:tblInd w:w="-365" w:type="dxa"/>
        <w:tblLook w:val="04A0" w:firstRow="1" w:lastRow="0" w:firstColumn="1" w:lastColumn="0" w:noHBand="0" w:noVBand="1"/>
      </w:tblPr>
      <w:tblGrid>
        <w:gridCol w:w="5490"/>
        <w:gridCol w:w="1170"/>
        <w:gridCol w:w="3510"/>
      </w:tblGrid>
      <w:tr w:rsidR="00874112" w14:paraId="267F95BB" w14:textId="77777777" w:rsidTr="00874112">
        <w:trPr>
          <w:trHeight w:val="278"/>
          <w:tblHeader/>
        </w:trPr>
        <w:tc>
          <w:tcPr>
            <w:tcW w:w="5490" w:type="dxa"/>
            <w:shd w:val="clear" w:color="auto" w:fill="0F2F4F" w:themeFill="accent1" w:themeFillShade="80"/>
          </w:tcPr>
          <w:p w14:paraId="2759C2D6" w14:textId="77777777" w:rsidR="00874112" w:rsidRPr="00684FEA" w:rsidRDefault="00874112" w:rsidP="000C6B8B">
            <w:pPr>
              <w:spacing w:before="60" w:after="60"/>
            </w:pPr>
            <w:r w:rsidRPr="00684FEA">
              <w:t>Topic Area</w:t>
            </w:r>
          </w:p>
        </w:tc>
        <w:tc>
          <w:tcPr>
            <w:tcW w:w="1170" w:type="dxa"/>
            <w:shd w:val="clear" w:color="auto" w:fill="0F2F4F" w:themeFill="accent1" w:themeFillShade="80"/>
          </w:tcPr>
          <w:p w14:paraId="39945699" w14:textId="77777777" w:rsidR="00874112" w:rsidRPr="00684FEA" w:rsidRDefault="00874112" w:rsidP="000C6B8B">
            <w:pPr>
              <w:spacing w:before="60" w:after="60"/>
            </w:pPr>
            <w:r w:rsidRPr="00684FEA">
              <w:t>Rating (1-5)</w:t>
            </w:r>
          </w:p>
        </w:tc>
        <w:tc>
          <w:tcPr>
            <w:tcW w:w="3510" w:type="dxa"/>
            <w:shd w:val="clear" w:color="auto" w:fill="0F2F4F" w:themeFill="accent1" w:themeFillShade="80"/>
          </w:tcPr>
          <w:p w14:paraId="0ACAF0AB" w14:textId="77777777" w:rsidR="00874112" w:rsidRPr="00684FEA" w:rsidRDefault="00874112" w:rsidP="000C6B8B">
            <w:pPr>
              <w:spacing w:before="60" w:after="60"/>
            </w:pPr>
            <w:r w:rsidRPr="00684FEA">
              <w:t>Notes and Next Steps</w:t>
            </w:r>
          </w:p>
        </w:tc>
      </w:tr>
      <w:tr w:rsidR="003C66A7" w14:paraId="6A155E38" w14:textId="77777777" w:rsidTr="003C66A7">
        <w:trPr>
          <w:trHeight w:val="246"/>
        </w:trPr>
        <w:tc>
          <w:tcPr>
            <w:tcW w:w="10170" w:type="dxa"/>
            <w:gridSpan w:val="3"/>
            <w:shd w:val="clear" w:color="auto" w:fill="BFBFBF" w:themeFill="background1" w:themeFillShade="BF"/>
          </w:tcPr>
          <w:p w14:paraId="6B20F2F4" w14:textId="51DA687B" w:rsidR="003C66A7" w:rsidRPr="003C66A7" w:rsidRDefault="003C66A7" w:rsidP="000C6B8B">
            <w:pPr>
              <w:spacing w:before="60" w:after="60"/>
              <w:rPr>
                <w:b/>
              </w:rPr>
            </w:pPr>
            <w:r w:rsidRPr="003C66A7">
              <w:rPr>
                <w:b/>
              </w:rPr>
              <w:t>Monitoring as a Partnership Across Levels to Ensure Compliance and Effectiveness</w:t>
            </w:r>
          </w:p>
        </w:tc>
      </w:tr>
      <w:tr w:rsidR="00874112" w14:paraId="380CE4E8" w14:textId="77777777" w:rsidTr="003F367E">
        <w:trPr>
          <w:trHeight w:val="1029"/>
        </w:trPr>
        <w:tc>
          <w:tcPr>
            <w:tcW w:w="5490" w:type="dxa"/>
          </w:tcPr>
          <w:p w14:paraId="079FF6F6" w14:textId="77777777" w:rsidR="00874112" w:rsidRPr="00A3719F" w:rsidRDefault="00874112" w:rsidP="000C6B8B">
            <w:pPr>
              <w:pStyle w:val="ListParagraph"/>
              <w:spacing w:before="60" w:after="60"/>
              <w:ind w:left="345"/>
              <w:contextualSpacing w:val="0"/>
            </w:pPr>
            <w:r>
              <w:t xml:space="preserve">Our state monitoring approach is based on collaboration and open communication across the federal, state and local levels. </w:t>
            </w:r>
          </w:p>
        </w:tc>
        <w:tc>
          <w:tcPr>
            <w:tcW w:w="1170" w:type="dxa"/>
          </w:tcPr>
          <w:p w14:paraId="1ED1EE8C" w14:textId="77777777" w:rsidR="00874112" w:rsidRPr="00FE5F0C" w:rsidRDefault="00874112" w:rsidP="000C6B8B">
            <w:pPr>
              <w:spacing w:before="60" w:after="60"/>
            </w:pPr>
          </w:p>
        </w:tc>
        <w:tc>
          <w:tcPr>
            <w:tcW w:w="3510" w:type="dxa"/>
          </w:tcPr>
          <w:p w14:paraId="76B926A8" w14:textId="77777777" w:rsidR="00874112" w:rsidRPr="00FE5F0C" w:rsidRDefault="00874112" w:rsidP="000C6B8B">
            <w:pPr>
              <w:spacing w:before="60" w:after="60"/>
            </w:pPr>
          </w:p>
        </w:tc>
      </w:tr>
      <w:tr w:rsidR="00874112" w14:paraId="0D942AED" w14:textId="77777777" w:rsidTr="003F367E">
        <w:trPr>
          <w:trHeight w:val="1065"/>
        </w:trPr>
        <w:tc>
          <w:tcPr>
            <w:tcW w:w="5490" w:type="dxa"/>
          </w:tcPr>
          <w:p w14:paraId="61B66515" w14:textId="77777777" w:rsidR="00874112" w:rsidRPr="00A3719F" w:rsidRDefault="00874112" w:rsidP="000C6B8B">
            <w:pPr>
              <w:pStyle w:val="ListParagraph"/>
              <w:spacing w:before="60" w:after="60"/>
              <w:ind w:left="345"/>
              <w:contextualSpacing w:val="0"/>
            </w:pPr>
            <w:r>
              <w:t xml:space="preserve">Our state monitoring approach encourages and expects monitors to engage in positive and effective communication strategies with grantees. </w:t>
            </w:r>
          </w:p>
        </w:tc>
        <w:tc>
          <w:tcPr>
            <w:tcW w:w="1170" w:type="dxa"/>
          </w:tcPr>
          <w:p w14:paraId="2D50B770" w14:textId="77777777" w:rsidR="00874112" w:rsidRPr="00FE5F0C" w:rsidRDefault="00874112" w:rsidP="000C6B8B">
            <w:pPr>
              <w:spacing w:before="60" w:after="60"/>
            </w:pPr>
          </w:p>
        </w:tc>
        <w:tc>
          <w:tcPr>
            <w:tcW w:w="3510" w:type="dxa"/>
          </w:tcPr>
          <w:p w14:paraId="0C9A113E" w14:textId="77777777" w:rsidR="00874112" w:rsidRPr="00FE5F0C" w:rsidRDefault="00874112" w:rsidP="000C6B8B">
            <w:pPr>
              <w:spacing w:before="60" w:after="60"/>
            </w:pPr>
          </w:p>
        </w:tc>
      </w:tr>
      <w:tr w:rsidR="00874112" w14:paraId="2CF79255" w14:textId="77777777" w:rsidTr="00874112">
        <w:trPr>
          <w:trHeight w:val="278"/>
        </w:trPr>
        <w:tc>
          <w:tcPr>
            <w:tcW w:w="5490" w:type="dxa"/>
            <w:shd w:val="clear" w:color="auto" w:fill="BFBFBF" w:themeFill="background1" w:themeFillShade="BF"/>
          </w:tcPr>
          <w:p w14:paraId="083F90CE" w14:textId="226285B6" w:rsidR="00874112" w:rsidRPr="003C66A7" w:rsidRDefault="00874112" w:rsidP="000C6B8B">
            <w:pPr>
              <w:spacing w:before="60" w:after="60"/>
              <w:rPr>
                <w:b/>
              </w:rPr>
            </w:pPr>
            <w:r w:rsidRPr="003C66A7">
              <w:rPr>
                <w:b/>
              </w:rPr>
              <w:t xml:space="preserve">Monitors </w:t>
            </w:r>
            <w:r w:rsidR="003C66A7" w:rsidRPr="003C66A7">
              <w:rPr>
                <w:b/>
              </w:rPr>
              <w:t>Have Key Communication Roles</w:t>
            </w:r>
          </w:p>
        </w:tc>
        <w:tc>
          <w:tcPr>
            <w:tcW w:w="1170" w:type="dxa"/>
            <w:shd w:val="clear" w:color="auto" w:fill="BFBFBF" w:themeFill="background1" w:themeFillShade="BF"/>
          </w:tcPr>
          <w:p w14:paraId="09A2E5FD" w14:textId="77777777" w:rsidR="00874112" w:rsidRPr="00FE5F0C" w:rsidRDefault="00874112" w:rsidP="000C6B8B">
            <w:pPr>
              <w:spacing w:before="60" w:after="60"/>
            </w:pPr>
          </w:p>
        </w:tc>
        <w:tc>
          <w:tcPr>
            <w:tcW w:w="3510" w:type="dxa"/>
            <w:shd w:val="clear" w:color="auto" w:fill="BFBFBF" w:themeFill="background1" w:themeFillShade="BF"/>
          </w:tcPr>
          <w:p w14:paraId="495DC266" w14:textId="77777777" w:rsidR="00874112" w:rsidRPr="00FE5F0C" w:rsidRDefault="00874112" w:rsidP="000C6B8B">
            <w:pPr>
              <w:spacing w:before="60" w:after="60"/>
            </w:pPr>
          </w:p>
        </w:tc>
      </w:tr>
      <w:tr w:rsidR="00874112" w14:paraId="5724E9A0" w14:textId="77777777" w:rsidTr="00874112">
        <w:trPr>
          <w:trHeight w:val="1565"/>
        </w:trPr>
        <w:tc>
          <w:tcPr>
            <w:tcW w:w="5490" w:type="dxa"/>
          </w:tcPr>
          <w:p w14:paraId="30B58119" w14:textId="77777777" w:rsidR="00874112" w:rsidRPr="00A3719F" w:rsidRDefault="00874112" w:rsidP="000C6B8B">
            <w:pPr>
              <w:pStyle w:val="ListParagraph"/>
              <w:spacing w:before="60" w:after="60"/>
              <w:ind w:left="345"/>
              <w:contextualSpacing w:val="0"/>
            </w:pPr>
            <w:r>
              <w:t>Our state monitoring approach includes expectations that monitors effectively fulfill various communication roles including relationship builders, subject matter experts, and drivers of continuous improvement.</w:t>
            </w:r>
          </w:p>
        </w:tc>
        <w:tc>
          <w:tcPr>
            <w:tcW w:w="1170" w:type="dxa"/>
          </w:tcPr>
          <w:p w14:paraId="3E267B17" w14:textId="77777777" w:rsidR="00874112" w:rsidRPr="00FE5F0C" w:rsidRDefault="00874112" w:rsidP="000C6B8B">
            <w:pPr>
              <w:spacing w:before="60" w:after="60"/>
            </w:pPr>
          </w:p>
        </w:tc>
        <w:tc>
          <w:tcPr>
            <w:tcW w:w="3510" w:type="dxa"/>
          </w:tcPr>
          <w:p w14:paraId="654D077B" w14:textId="77777777" w:rsidR="00874112" w:rsidRPr="00FE5F0C" w:rsidRDefault="00874112" w:rsidP="000C6B8B">
            <w:pPr>
              <w:spacing w:before="60" w:after="60"/>
            </w:pPr>
          </w:p>
        </w:tc>
      </w:tr>
      <w:tr w:rsidR="00874112" w14:paraId="7D981705" w14:textId="77777777" w:rsidTr="00905570">
        <w:trPr>
          <w:trHeight w:val="1344"/>
        </w:trPr>
        <w:tc>
          <w:tcPr>
            <w:tcW w:w="5490" w:type="dxa"/>
          </w:tcPr>
          <w:p w14:paraId="3E238733" w14:textId="77777777" w:rsidR="00874112" w:rsidRDefault="00874112" w:rsidP="000C6B8B">
            <w:pPr>
              <w:pStyle w:val="ListParagraph"/>
              <w:spacing w:before="60" w:after="60"/>
              <w:ind w:left="345"/>
              <w:contextualSpacing w:val="0"/>
            </w:pPr>
            <w:r>
              <w:t>Our state provides training to support and build monitors’ capacity in their roles of relationship builders, subject matter experts, and drivers of continuous improvement.</w:t>
            </w:r>
          </w:p>
        </w:tc>
        <w:tc>
          <w:tcPr>
            <w:tcW w:w="1170" w:type="dxa"/>
          </w:tcPr>
          <w:p w14:paraId="740694D4" w14:textId="77777777" w:rsidR="00874112" w:rsidRPr="00FE5F0C" w:rsidRDefault="00874112" w:rsidP="000C6B8B">
            <w:pPr>
              <w:spacing w:before="60" w:after="60"/>
            </w:pPr>
          </w:p>
        </w:tc>
        <w:tc>
          <w:tcPr>
            <w:tcW w:w="3510" w:type="dxa"/>
          </w:tcPr>
          <w:p w14:paraId="3B887909" w14:textId="77777777" w:rsidR="00874112" w:rsidRPr="00FE5F0C" w:rsidRDefault="00874112" w:rsidP="000C6B8B">
            <w:pPr>
              <w:spacing w:before="60" w:after="60"/>
            </w:pPr>
          </w:p>
        </w:tc>
      </w:tr>
    </w:tbl>
    <w:p w14:paraId="4EB82954" w14:textId="77777777" w:rsidR="00874112" w:rsidRDefault="00874112" w:rsidP="00874112"/>
    <w:p w14:paraId="0A1667F1" w14:textId="77777777" w:rsidR="00874112" w:rsidRDefault="00874112" w:rsidP="00874112">
      <w:pPr>
        <w:rPr>
          <w:rFonts w:asciiTheme="majorHAnsi" w:eastAsiaTheme="majorEastAsia" w:hAnsiTheme="majorHAnsi" w:cstheme="majorBidi"/>
          <w:color w:val="164676" w:themeColor="accent1" w:themeShade="BF"/>
          <w:sz w:val="32"/>
          <w:szCs w:val="32"/>
        </w:rPr>
      </w:pPr>
      <w:r>
        <w:br w:type="page"/>
      </w:r>
    </w:p>
    <w:p w14:paraId="189E35A9" w14:textId="77777777" w:rsidR="00874112" w:rsidRDefault="00874112" w:rsidP="00874112">
      <w:pPr>
        <w:pStyle w:val="Heading4"/>
      </w:pPr>
      <w:r>
        <w:lastRenderedPageBreak/>
        <w:t>Element 4: Conducting Data-Driven Analysis</w:t>
      </w:r>
    </w:p>
    <w:tbl>
      <w:tblPr>
        <w:tblStyle w:val="TableGridLight"/>
        <w:tblW w:w="10170" w:type="dxa"/>
        <w:tblInd w:w="-365" w:type="dxa"/>
        <w:tblLook w:val="04A0" w:firstRow="1" w:lastRow="0" w:firstColumn="1" w:lastColumn="0" w:noHBand="0" w:noVBand="1"/>
      </w:tblPr>
      <w:tblGrid>
        <w:gridCol w:w="5490"/>
        <w:gridCol w:w="1170"/>
        <w:gridCol w:w="3510"/>
      </w:tblGrid>
      <w:tr w:rsidR="00874112" w14:paraId="5CA29F0C" w14:textId="77777777" w:rsidTr="00874112">
        <w:trPr>
          <w:tblHeader/>
        </w:trPr>
        <w:tc>
          <w:tcPr>
            <w:tcW w:w="5490" w:type="dxa"/>
            <w:shd w:val="clear" w:color="auto" w:fill="0F2F4F" w:themeFill="accent1" w:themeFillShade="80"/>
          </w:tcPr>
          <w:p w14:paraId="087D5536" w14:textId="77777777" w:rsidR="00874112" w:rsidRPr="00684FEA" w:rsidRDefault="00874112" w:rsidP="000C6B8B">
            <w:pPr>
              <w:spacing w:before="60" w:after="60"/>
            </w:pPr>
            <w:r w:rsidRPr="00684FEA">
              <w:t>Topic Area</w:t>
            </w:r>
          </w:p>
        </w:tc>
        <w:tc>
          <w:tcPr>
            <w:tcW w:w="1170" w:type="dxa"/>
            <w:shd w:val="clear" w:color="auto" w:fill="0F2F4F" w:themeFill="accent1" w:themeFillShade="80"/>
          </w:tcPr>
          <w:p w14:paraId="4B3AB0AA" w14:textId="77777777" w:rsidR="00874112" w:rsidRPr="00684FEA" w:rsidRDefault="00874112" w:rsidP="000C6B8B">
            <w:pPr>
              <w:spacing w:before="60" w:after="60"/>
            </w:pPr>
            <w:r w:rsidRPr="00684FEA">
              <w:t>Rating (1-5)</w:t>
            </w:r>
          </w:p>
        </w:tc>
        <w:tc>
          <w:tcPr>
            <w:tcW w:w="3510" w:type="dxa"/>
            <w:shd w:val="clear" w:color="auto" w:fill="0F2F4F" w:themeFill="accent1" w:themeFillShade="80"/>
          </w:tcPr>
          <w:p w14:paraId="25983E81" w14:textId="77777777" w:rsidR="00874112" w:rsidRPr="00684FEA" w:rsidRDefault="00874112" w:rsidP="000C6B8B">
            <w:pPr>
              <w:spacing w:before="60" w:after="60"/>
            </w:pPr>
            <w:r w:rsidRPr="00684FEA">
              <w:t>Notes and Next Steps</w:t>
            </w:r>
          </w:p>
        </w:tc>
      </w:tr>
      <w:tr w:rsidR="00874112" w14:paraId="0CCB2004" w14:textId="77777777" w:rsidTr="00874112">
        <w:tc>
          <w:tcPr>
            <w:tcW w:w="5490" w:type="dxa"/>
            <w:shd w:val="clear" w:color="auto" w:fill="BFBFBF" w:themeFill="background1" w:themeFillShade="BF"/>
          </w:tcPr>
          <w:p w14:paraId="65BC7470" w14:textId="77777777" w:rsidR="00874112" w:rsidRPr="003C66A7" w:rsidRDefault="00874112" w:rsidP="000C6B8B">
            <w:pPr>
              <w:spacing w:before="60" w:after="60"/>
              <w:rPr>
                <w:b/>
              </w:rPr>
            </w:pPr>
            <w:r w:rsidRPr="003C66A7">
              <w:rPr>
                <w:b/>
              </w:rPr>
              <w:t>Continuous Monitoring</w:t>
            </w:r>
          </w:p>
        </w:tc>
        <w:tc>
          <w:tcPr>
            <w:tcW w:w="1170" w:type="dxa"/>
            <w:shd w:val="clear" w:color="auto" w:fill="BFBFBF" w:themeFill="background1" w:themeFillShade="BF"/>
          </w:tcPr>
          <w:p w14:paraId="09CBC7CE" w14:textId="77777777" w:rsidR="00874112" w:rsidRPr="00FE5F0C" w:rsidRDefault="00874112" w:rsidP="000C6B8B">
            <w:pPr>
              <w:spacing w:before="60" w:after="60"/>
            </w:pPr>
          </w:p>
        </w:tc>
        <w:tc>
          <w:tcPr>
            <w:tcW w:w="3510" w:type="dxa"/>
            <w:shd w:val="clear" w:color="auto" w:fill="BFBFBF" w:themeFill="background1" w:themeFillShade="BF"/>
          </w:tcPr>
          <w:p w14:paraId="69BCD884" w14:textId="77777777" w:rsidR="00874112" w:rsidRPr="00FE5F0C" w:rsidRDefault="00874112" w:rsidP="000C6B8B">
            <w:pPr>
              <w:spacing w:before="60" w:after="60"/>
            </w:pPr>
          </w:p>
        </w:tc>
      </w:tr>
      <w:tr w:rsidR="00874112" w14:paraId="168ADE0F" w14:textId="77777777" w:rsidTr="00874112">
        <w:tc>
          <w:tcPr>
            <w:tcW w:w="5490" w:type="dxa"/>
          </w:tcPr>
          <w:p w14:paraId="6797E7AF" w14:textId="77777777" w:rsidR="00874112" w:rsidRPr="00A3719F" w:rsidRDefault="00874112" w:rsidP="000C6B8B">
            <w:pPr>
              <w:pStyle w:val="ListParagraph"/>
              <w:spacing w:before="60" w:after="60"/>
              <w:ind w:left="345"/>
              <w:contextualSpacing w:val="0"/>
            </w:pPr>
            <w:r>
              <w:t>Our state monitoring system requires staff to engage in various monitoring and oversight activities throughout the year, including but not limited to risk assessments, desk reviews, information collections, on-site monitoring reviews, etc.</w:t>
            </w:r>
          </w:p>
        </w:tc>
        <w:tc>
          <w:tcPr>
            <w:tcW w:w="1170" w:type="dxa"/>
          </w:tcPr>
          <w:p w14:paraId="49A0012F" w14:textId="77777777" w:rsidR="00874112" w:rsidRPr="00FE5F0C" w:rsidRDefault="00874112" w:rsidP="000C6B8B">
            <w:pPr>
              <w:spacing w:before="60" w:after="60"/>
            </w:pPr>
          </w:p>
        </w:tc>
        <w:tc>
          <w:tcPr>
            <w:tcW w:w="3510" w:type="dxa"/>
          </w:tcPr>
          <w:p w14:paraId="1A5A5566" w14:textId="77777777" w:rsidR="00874112" w:rsidRPr="00FE5F0C" w:rsidRDefault="00874112" w:rsidP="000C6B8B">
            <w:pPr>
              <w:spacing w:before="60" w:after="60"/>
            </w:pPr>
          </w:p>
        </w:tc>
      </w:tr>
      <w:tr w:rsidR="00874112" w14:paraId="4A3AC650" w14:textId="77777777" w:rsidTr="00874112">
        <w:tc>
          <w:tcPr>
            <w:tcW w:w="5490" w:type="dxa"/>
          </w:tcPr>
          <w:p w14:paraId="68759B2C" w14:textId="77777777" w:rsidR="00874112" w:rsidRDefault="00874112" w:rsidP="000C6B8B">
            <w:pPr>
              <w:pStyle w:val="ListParagraph"/>
              <w:spacing w:before="60" w:after="60"/>
              <w:ind w:left="345"/>
              <w:contextualSpacing w:val="0"/>
            </w:pPr>
            <w:r>
              <w:t>Our state monitoring approach includes the collection and consistent updating of key information on grantees and/or subrecipients to provide a “profile” for state monitoring and other staff.</w:t>
            </w:r>
          </w:p>
        </w:tc>
        <w:tc>
          <w:tcPr>
            <w:tcW w:w="1170" w:type="dxa"/>
          </w:tcPr>
          <w:p w14:paraId="02CEC9E5" w14:textId="77777777" w:rsidR="00874112" w:rsidRPr="00FE5F0C" w:rsidRDefault="00874112" w:rsidP="000C6B8B">
            <w:pPr>
              <w:spacing w:before="60" w:after="60"/>
            </w:pPr>
          </w:p>
        </w:tc>
        <w:tc>
          <w:tcPr>
            <w:tcW w:w="3510" w:type="dxa"/>
          </w:tcPr>
          <w:p w14:paraId="522400AD" w14:textId="77777777" w:rsidR="00874112" w:rsidRPr="00FE5F0C" w:rsidRDefault="00874112" w:rsidP="000C6B8B">
            <w:pPr>
              <w:spacing w:before="60" w:after="60"/>
            </w:pPr>
          </w:p>
        </w:tc>
      </w:tr>
      <w:tr w:rsidR="00874112" w14:paraId="61A14DCA" w14:textId="77777777" w:rsidTr="00874112">
        <w:tc>
          <w:tcPr>
            <w:tcW w:w="5490" w:type="dxa"/>
          </w:tcPr>
          <w:p w14:paraId="4BD6D742" w14:textId="77777777" w:rsidR="00874112" w:rsidRPr="00A3719F" w:rsidRDefault="00874112" w:rsidP="000C6B8B">
            <w:pPr>
              <w:pStyle w:val="ListParagraph"/>
              <w:spacing w:before="60" w:after="60"/>
              <w:ind w:left="345"/>
              <w:contextualSpacing w:val="0"/>
            </w:pPr>
            <w:r>
              <w:t>Our state stores this “profile” for easy access and information sharing among state staff when engaging in continuous monitoring activities.</w:t>
            </w:r>
          </w:p>
        </w:tc>
        <w:tc>
          <w:tcPr>
            <w:tcW w:w="1170" w:type="dxa"/>
          </w:tcPr>
          <w:p w14:paraId="0C0CE3E9" w14:textId="77777777" w:rsidR="00874112" w:rsidRPr="00FE5F0C" w:rsidRDefault="00874112" w:rsidP="000C6B8B">
            <w:pPr>
              <w:spacing w:before="60" w:after="60"/>
            </w:pPr>
          </w:p>
        </w:tc>
        <w:tc>
          <w:tcPr>
            <w:tcW w:w="3510" w:type="dxa"/>
          </w:tcPr>
          <w:p w14:paraId="65900875" w14:textId="77777777" w:rsidR="00874112" w:rsidRPr="00FE5F0C" w:rsidRDefault="00874112" w:rsidP="000C6B8B">
            <w:pPr>
              <w:spacing w:before="60" w:after="60"/>
            </w:pPr>
          </w:p>
        </w:tc>
      </w:tr>
      <w:tr w:rsidR="003C66A7" w14:paraId="21D21B84" w14:textId="77777777" w:rsidTr="00695E98">
        <w:tc>
          <w:tcPr>
            <w:tcW w:w="10170" w:type="dxa"/>
            <w:gridSpan w:val="3"/>
            <w:shd w:val="clear" w:color="auto" w:fill="BFBFBF" w:themeFill="background1" w:themeFillShade="BF"/>
          </w:tcPr>
          <w:p w14:paraId="3EA6D8A6" w14:textId="264885D8" w:rsidR="003C66A7" w:rsidRPr="00FE5F0C" w:rsidRDefault="003C66A7" w:rsidP="000C6B8B">
            <w:pPr>
              <w:spacing w:before="60" w:after="60"/>
            </w:pPr>
            <w:r w:rsidRPr="003C66A7">
              <w:rPr>
                <w:b/>
              </w:rPr>
              <w:t xml:space="preserve">Comprehensive </w:t>
            </w:r>
            <w:r>
              <w:rPr>
                <w:b/>
              </w:rPr>
              <w:t>D</w:t>
            </w:r>
            <w:r w:rsidRPr="003C66A7">
              <w:rPr>
                <w:b/>
              </w:rPr>
              <w:t xml:space="preserve">ata </w:t>
            </w:r>
            <w:r>
              <w:rPr>
                <w:b/>
              </w:rPr>
              <w:t>A</w:t>
            </w:r>
            <w:r w:rsidRPr="003C66A7">
              <w:rPr>
                <w:b/>
              </w:rPr>
              <w:t xml:space="preserve">nalysis </w:t>
            </w:r>
            <w:r>
              <w:rPr>
                <w:b/>
              </w:rPr>
              <w:t>P</w:t>
            </w:r>
            <w:r w:rsidRPr="003C66A7">
              <w:rPr>
                <w:b/>
              </w:rPr>
              <w:t xml:space="preserve">rocess and </w:t>
            </w:r>
            <w:r>
              <w:rPr>
                <w:b/>
              </w:rPr>
              <w:t>T</w:t>
            </w:r>
            <w:r w:rsidRPr="003C66A7">
              <w:rPr>
                <w:b/>
              </w:rPr>
              <w:t>ools</w:t>
            </w:r>
          </w:p>
        </w:tc>
      </w:tr>
      <w:tr w:rsidR="00874112" w14:paraId="4C7E1078" w14:textId="77777777" w:rsidTr="00874112">
        <w:tc>
          <w:tcPr>
            <w:tcW w:w="5490" w:type="dxa"/>
          </w:tcPr>
          <w:p w14:paraId="14766E2C" w14:textId="77777777" w:rsidR="00874112" w:rsidRPr="00A3719F" w:rsidRDefault="00874112" w:rsidP="000C6B8B">
            <w:pPr>
              <w:pStyle w:val="ListParagraph"/>
              <w:spacing w:before="60" w:after="60"/>
              <w:ind w:left="345"/>
              <w:contextualSpacing w:val="0"/>
            </w:pPr>
            <w:r>
              <w:t>Our state monitoring system has established processes and tools to support the cross-unit data analysis that leads to a comprehensive understanding of local area compliance and effectiveness.</w:t>
            </w:r>
          </w:p>
        </w:tc>
        <w:tc>
          <w:tcPr>
            <w:tcW w:w="1170" w:type="dxa"/>
          </w:tcPr>
          <w:p w14:paraId="1E6D51F2" w14:textId="77777777" w:rsidR="00874112" w:rsidRPr="00FE5F0C" w:rsidRDefault="00874112" w:rsidP="000C6B8B">
            <w:pPr>
              <w:spacing w:before="60" w:after="60"/>
            </w:pPr>
          </w:p>
        </w:tc>
        <w:tc>
          <w:tcPr>
            <w:tcW w:w="3510" w:type="dxa"/>
          </w:tcPr>
          <w:p w14:paraId="62ED8116" w14:textId="77777777" w:rsidR="00874112" w:rsidRPr="00FE5F0C" w:rsidRDefault="00874112" w:rsidP="000C6B8B">
            <w:pPr>
              <w:spacing w:before="60" w:after="60"/>
            </w:pPr>
          </w:p>
        </w:tc>
      </w:tr>
      <w:tr w:rsidR="00874112" w14:paraId="39D16EC0" w14:textId="77777777" w:rsidTr="00874112">
        <w:tc>
          <w:tcPr>
            <w:tcW w:w="5490" w:type="dxa"/>
          </w:tcPr>
          <w:p w14:paraId="1B4A9F84" w14:textId="77777777" w:rsidR="00874112" w:rsidRPr="00A3719F" w:rsidRDefault="00874112" w:rsidP="000C6B8B">
            <w:pPr>
              <w:pStyle w:val="ListParagraph"/>
              <w:spacing w:before="60" w:after="60"/>
              <w:ind w:left="345"/>
              <w:contextualSpacing w:val="0"/>
            </w:pPr>
            <w:r>
              <w:t>In our monitoring process, we review the information collected, analyze the information, and resolve any issues identified through the analysis.</w:t>
            </w:r>
          </w:p>
        </w:tc>
        <w:tc>
          <w:tcPr>
            <w:tcW w:w="1170" w:type="dxa"/>
          </w:tcPr>
          <w:p w14:paraId="18D64F37" w14:textId="77777777" w:rsidR="00874112" w:rsidRPr="00FE5F0C" w:rsidRDefault="00874112" w:rsidP="000C6B8B">
            <w:pPr>
              <w:spacing w:before="60" w:after="60"/>
            </w:pPr>
          </w:p>
        </w:tc>
        <w:tc>
          <w:tcPr>
            <w:tcW w:w="3510" w:type="dxa"/>
          </w:tcPr>
          <w:p w14:paraId="70A9B6A9" w14:textId="77777777" w:rsidR="00874112" w:rsidRPr="00FE5F0C" w:rsidRDefault="00874112" w:rsidP="000C6B8B">
            <w:pPr>
              <w:spacing w:before="60" w:after="60"/>
            </w:pPr>
          </w:p>
        </w:tc>
      </w:tr>
      <w:tr w:rsidR="00874112" w14:paraId="7812F3C9" w14:textId="77777777" w:rsidTr="00874112">
        <w:tc>
          <w:tcPr>
            <w:tcW w:w="5490" w:type="dxa"/>
            <w:shd w:val="clear" w:color="auto" w:fill="BFBFBF" w:themeFill="background1" w:themeFillShade="BF"/>
          </w:tcPr>
          <w:p w14:paraId="3292913F" w14:textId="5C576BBF" w:rsidR="00874112" w:rsidRPr="003C66A7" w:rsidRDefault="00874112" w:rsidP="000C6B8B">
            <w:pPr>
              <w:spacing w:before="60" w:after="60"/>
              <w:rPr>
                <w:b/>
              </w:rPr>
            </w:pPr>
            <w:r w:rsidRPr="003C66A7">
              <w:rPr>
                <w:b/>
              </w:rPr>
              <w:t xml:space="preserve">Qualitative vs. </w:t>
            </w:r>
            <w:r w:rsidR="003C66A7">
              <w:rPr>
                <w:b/>
              </w:rPr>
              <w:t>Q</w:t>
            </w:r>
            <w:r w:rsidRPr="003C66A7">
              <w:rPr>
                <w:b/>
              </w:rPr>
              <w:t xml:space="preserve">uantitative </w:t>
            </w:r>
            <w:r w:rsidR="003C66A7">
              <w:rPr>
                <w:b/>
              </w:rPr>
              <w:t>D</w:t>
            </w:r>
            <w:r w:rsidRPr="003C66A7">
              <w:rPr>
                <w:b/>
              </w:rPr>
              <w:t xml:space="preserve">ata </w:t>
            </w:r>
          </w:p>
        </w:tc>
        <w:tc>
          <w:tcPr>
            <w:tcW w:w="1170" w:type="dxa"/>
            <w:shd w:val="clear" w:color="auto" w:fill="BFBFBF" w:themeFill="background1" w:themeFillShade="BF"/>
          </w:tcPr>
          <w:p w14:paraId="3BDADB07" w14:textId="77777777" w:rsidR="00874112" w:rsidRPr="00FE5F0C" w:rsidRDefault="00874112" w:rsidP="000C6B8B">
            <w:pPr>
              <w:spacing w:before="60" w:after="60"/>
            </w:pPr>
          </w:p>
        </w:tc>
        <w:tc>
          <w:tcPr>
            <w:tcW w:w="3510" w:type="dxa"/>
            <w:shd w:val="clear" w:color="auto" w:fill="BFBFBF" w:themeFill="background1" w:themeFillShade="BF"/>
          </w:tcPr>
          <w:p w14:paraId="56117DC6" w14:textId="77777777" w:rsidR="00874112" w:rsidRPr="00FE5F0C" w:rsidRDefault="00874112" w:rsidP="000C6B8B">
            <w:pPr>
              <w:spacing w:before="60" w:after="60"/>
            </w:pPr>
          </w:p>
        </w:tc>
      </w:tr>
      <w:tr w:rsidR="00874112" w14:paraId="23594825" w14:textId="77777777" w:rsidTr="00874112">
        <w:tc>
          <w:tcPr>
            <w:tcW w:w="5490" w:type="dxa"/>
          </w:tcPr>
          <w:p w14:paraId="0A1F6494" w14:textId="77777777" w:rsidR="00874112" w:rsidRPr="00A3719F" w:rsidRDefault="00874112" w:rsidP="000C6B8B">
            <w:pPr>
              <w:pStyle w:val="ListParagraph"/>
              <w:spacing w:before="60" w:after="60"/>
              <w:ind w:left="345"/>
              <w:contextualSpacing w:val="0"/>
            </w:pPr>
            <w:r>
              <w:t xml:space="preserve">Through our monitoring data analysis, we look at a variety of sources including qualitative and quantitative sources. </w:t>
            </w:r>
          </w:p>
        </w:tc>
        <w:tc>
          <w:tcPr>
            <w:tcW w:w="1170" w:type="dxa"/>
          </w:tcPr>
          <w:p w14:paraId="71622D4C" w14:textId="77777777" w:rsidR="00874112" w:rsidRPr="00FE5F0C" w:rsidRDefault="00874112" w:rsidP="000C6B8B">
            <w:pPr>
              <w:spacing w:before="60" w:after="60"/>
            </w:pPr>
          </w:p>
        </w:tc>
        <w:tc>
          <w:tcPr>
            <w:tcW w:w="3510" w:type="dxa"/>
          </w:tcPr>
          <w:p w14:paraId="5E70AAE7" w14:textId="77777777" w:rsidR="00874112" w:rsidRPr="00FE5F0C" w:rsidRDefault="00874112" w:rsidP="000C6B8B">
            <w:pPr>
              <w:spacing w:before="60" w:after="60"/>
            </w:pPr>
          </w:p>
        </w:tc>
      </w:tr>
    </w:tbl>
    <w:p w14:paraId="33318052" w14:textId="77777777" w:rsidR="00874112" w:rsidRDefault="00874112" w:rsidP="00874112"/>
    <w:p w14:paraId="0D148B34" w14:textId="77777777" w:rsidR="00874112" w:rsidRDefault="00874112" w:rsidP="00874112">
      <w:pPr>
        <w:rPr>
          <w:rFonts w:asciiTheme="majorHAnsi" w:eastAsiaTheme="majorEastAsia" w:hAnsiTheme="majorHAnsi" w:cstheme="majorBidi"/>
          <w:color w:val="164676" w:themeColor="accent1" w:themeShade="BF"/>
          <w:sz w:val="32"/>
          <w:szCs w:val="32"/>
        </w:rPr>
      </w:pPr>
      <w:r>
        <w:br w:type="page"/>
      </w:r>
    </w:p>
    <w:p w14:paraId="682D1351" w14:textId="77777777" w:rsidR="00874112" w:rsidRDefault="00874112" w:rsidP="00874112">
      <w:pPr>
        <w:pStyle w:val="Heading4"/>
      </w:pPr>
      <w:r>
        <w:lastRenderedPageBreak/>
        <w:t xml:space="preserve">Element 5: Using </w:t>
      </w:r>
      <w:r w:rsidRPr="00A7718C">
        <w:t>Comprehensive and Current Monitoring Tools</w:t>
      </w:r>
    </w:p>
    <w:tbl>
      <w:tblPr>
        <w:tblStyle w:val="TableGridLight"/>
        <w:tblW w:w="10170" w:type="dxa"/>
        <w:tblInd w:w="-365" w:type="dxa"/>
        <w:tblLook w:val="04A0" w:firstRow="1" w:lastRow="0" w:firstColumn="1" w:lastColumn="0" w:noHBand="0" w:noVBand="1"/>
      </w:tblPr>
      <w:tblGrid>
        <w:gridCol w:w="5490"/>
        <w:gridCol w:w="1170"/>
        <w:gridCol w:w="3510"/>
      </w:tblGrid>
      <w:tr w:rsidR="00874112" w14:paraId="07D679A2" w14:textId="77777777" w:rsidTr="00874112">
        <w:tc>
          <w:tcPr>
            <w:tcW w:w="5490" w:type="dxa"/>
            <w:shd w:val="clear" w:color="auto" w:fill="0F2F4F" w:themeFill="accent1" w:themeFillShade="80"/>
          </w:tcPr>
          <w:p w14:paraId="244B0AEE" w14:textId="77777777" w:rsidR="00874112" w:rsidRPr="00684FEA" w:rsidRDefault="00874112" w:rsidP="000C6B8B">
            <w:pPr>
              <w:spacing w:before="60" w:after="60"/>
            </w:pPr>
            <w:r w:rsidRPr="00684FEA">
              <w:t>Topic Area</w:t>
            </w:r>
          </w:p>
        </w:tc>
        <w:tc>
          <w:tcPr>
            <w:tcW w:w="1170" w:type="dxa"/>
            <w:shd w:val="clear" w:color="auto" w:fill="0F2F4F" w:themeFill="accent1" w:themeFillShade="80"/>
          </w:tcPr>
          <w:p w14:paraId="6DEF13A4" w14:textId="77777777" w:rsidR="00874112" w:rsidRPr="00684FEA" w:rsidRDefault="00874112" w:rsidP="000C6B8B">
            <w:pPr>
              <w:spacing w:before="60" w:after="60"/>
            </w:pPr>
            <w:r w:rsidRPr="00684FEA">
              <w:t>Rating (1-5)</w:t>
            </w:r>
          </w:p>
        </w:tc>
        <w:tc>
          <w:tcPr>
            <w:tcW w:w="3510" w:type="dxa"/>
            <w:shd w:val="clear" w:color="auto" w:fill="0F2F4F" w:themeFill="accent1" w:themeFillShade="80"/>
          </w:tcPr>
          <w:p w14:paraId="07D169DA" w14:textId="77777777" w:rsidR="00874112" w:rsidRPr="00684FEA" w:rsidRDefault="00874112" w:rsidP="000C6B8B">
            <w:pPr>
              <w:spacing w:before="60" w:after="60"/>
            </w:pPr>
            <w:r w:rsidRPr="00684FEA">
              <w:t>Notes and Next Steps</w:t>
            </w:r>
          </w:p>
        </w:tc>
      </w:tr>
      <w:tr w:rsidR="00874112" w14:paraId="48BF46AD" w14:textId="77777777" w:rsidTr="00874112">
        <w:tc>
          <w:tcPr>
            <w:tcW w:w="5490" w:type="dxa"/>
            <w:shd w:val="clear" w:color="auto" w:fill="BFBFBF" w:themeFill="background1" w:themeFillShade="BF"/>
          </w:tcPr>
          <w:p w14:paraId="4A05007C" w14:textId="00B01B65" w:rsidR="00874112" w:rsidRPr="003C66A7" w:rsidRDefault="00874112" w:rsidP="000C6B8B">
            <w:pPr>
              <w:spacing w:before="60" w:after="60"/>
              <w:rPr>
                <w:b/>
              </w:rPr>
            </w:pPr>
            <w:r w:rsidRPr="003C66A7">
              <w:rPr>
                <w:b/>
              </w:rPr>
              <w:t xml:space="preserve">Monitoring </w:t>
            </w:r>
            <w:r w:rsidR="003C66A7">
              <w:rPr>
                <w:b/>
              </w:rPr>
              <w:t>T</w:t>
            </w:r>
            <w:r w:rsidRPr="003C66A7">
              <w:rPr>
                <w:b/>
              </w:rPr>
              <w:t>ools</w:t>
            </w:r>
          </w:p>
        </w:tc>
        <w:tc>
          <w:tcPr>
            <w:tcW w:w="1170" w:type="dxa"/>
            <w:shd w:val="clear" w:color="auto" w:fill="D9D9D9" w:themeFill="background1" w:themeFillShade="D9"/>
          </w:tcPr>
          <w:p w14:paraId="3CF07D93" w14:textId="77777777" w:rsidR="00874112" w:rsidRPr="00FE5F0C" w:rsidRDefault="00874112" w:rsidP="000C6B8B">
            <w:pPr>
              <w:spacing w:before="60" w:after="60"/>
            </w:pPr>
          </w:p>
        </w:tc>
        <w:tc>
          <w:tcPr>
            <w:tcW w:w="3510" w:type="dxa"/>
            <w:shd w:val="clear" w:color="auto" w:fill="D9D9D9" w:themeFill="background1" w:themeFillShade="D9"/>
          </w:tcPr>
          <w:p w14:paraId="710E32C9" w14:textId="77777777" w:rsidR="00874112" w:rsidRPr="00FE5F0C" w:rsidRDefault="00874112" w:rsidP="000C6B8B">
            <w:pPr>
              <w:spacing w:before="60" w:after="60"/>
            </w:pPr>
          </w:p>
        </w:tc>
      </w:tr>
      <w:tr w:rsidR="00874112" w14:paraId="3884BAE4" w14:textId="77777777" w:rsidTr="00874112">
        <w:tc>
          <w:tcPr>
            <w:tcW w:w="5490" w:type="dxa"/>
            <w:shd w:val="clear" w:color="auto" w:fill="auto"/>
          </w:tcPr>
          <w:p w14:paraId="6D0725D9" w14:textId="77777777" w:rsidR="00874112" w:rsidRPr="000C3BE6" w:rsidRDefault="00874112" w:rsidP="000C6B8B">
            <w:pPr>
              <w:pStyle w:val="ListParagraph"/>
              <w:spacing w:before="60" w:after="60"/>
              <w:ind w:left="345"/>
              <w:contextualSpacing w:val="0"/>
              <w:rPr>
                <w:bCs/>
              </w:rPr>
            </w:pPr>
            <w:r w:rsidRPr="00F06A15">
              <w:t>Our state monitoring unit has the tools outlined in the Framework and/or other tools that support effective on-site and continuous monitoring.</w:t>
            </w:r>
          </w:p>
        </w:tc>
        <w:tc>
          <w:tcPr>
            <w:tcW w:w="1170" w:type="dxa"/>
            <w:shd w:val="clear" w:color="auto" w:fill="auto"/>
          </w:tcPr>
          <w:p w14:paraId="4643EF37" w14:textId="77777777" w:rsidR="00874112" w:rsidRPr="00FE5F0C" w:rsidRDefault="00874112" w:rsidP="000C6B8B">
            <w:pPr>
              <w:spacing w:before="60" w:after="60"/>
            </w:pPr>
          </w:p>
        </w:tc>
        <w:tc>
          <w:tcPr>
            <w:tcW w:w="3510" w:type="dxa"/>
            <w:shd w:val="clear" w:color="auto" w:fill="auto"/>
          </w:tcPr>
          <w:p w14:paraId="373CF4B6" w14:textId="77777777" w:rsidR="00874112" w:rsidRPr="00FE5F0C" w:rsidRDefault="00874112" w:rsidP="000C6B8B">
            <w:pPr>
              <w:spacing w:before="60" w:after="60"/>
            </w:pPr>
          </w:p>
        </w:tc>
      </w:tr>
      <w:tr w:rsidR="00874112" w14:paraId="7EAA1111" w14:textId="77777777" w:rsidTr="00874112">
        <w:tc>
          <w:tcPr>
            <w:tcW w:w="5490" w:type="dxa"/>
            <w:shd w:val="clear" w:color="auto" w:fill="BFBFBF" w:themeFill="background1" w:themeFillShade="BF"/>
          </w:tcPr>
          <w:p w14:paraId="57028F53" w14:textId="57E87EFA" w:rsidR="00874112" w:rsidRPr="003C66A7" w:rsidRDefault="00874112" w:rsidP="000C6B8B">
            <w:pPr>
              <w:spacing w:before="60" w:after="60"/>
              <w:rPr>
                <w:b/>
              </w:rPr>
            </w:pPr>
            <w:r w:rsidRPr="003C66A7">
              <w:rPr>
                <w:b/>
              </w:rPr>
              <w:t xml:space="preserve">Features of </w:t>
            </w:r>
            <w:r w:rsidR="003C66A7">
              <w:rPr>
                <w:b/>
              </w:rPr>
              <w:t>S</w:t>
            </w:r>
            <w:r w:rsidRPr="003C66A7">
              <w:rPr>
                <w:b/>
              </w:rPr>
              <w:t xml:space="preserve">trong </w:t>
            </w:r>
            <w:r w:rsidR="003C66A7">
              <w:rPr>
                <w:b/>
              </w:rPr>
              <w:t>M</w:t>
            </w:r>
            <w:r w:rsidRPr="003C66A7">
              <w:rPr>
                <w:b/>
              </w:rPr>
              <w:t xml:space="preserve">onitoring </w:t>
            </w:r>
            <w:r w:rsidR="003C66A7">
              <w:rPr>
                <w:b/>
              </w:rPr>
              <w:t>T</w:t>
            </w:r>
            <w:r w:rsidRPr="003C66A7">
              <w:rPr>
                <w:b/>
              </w:rPr>
              <w:t>ools</w:t>
            </w:r>
          </w:p>
        </w:tc>
        <w:tc>
          <w:tcPr>
            <w:tcW w:w="1170" w:type="dxa"/>
            <w:shd w:val="clear" w:color="auto" w:fill="BFBFBF" w:themeFill="background1" w:themeFillShade="BF"/>
          </w:tcPr>
          <w:p w14:paraId="18413C78" w14:textId="77777777" w:rsidR="00874112" w:rsidRPr="00FE5F0C" w:rsidRDefault="00874112" w:rsidP="000C6B8B">
            <w:pPr>
              <w:spacing w:before="60" w:after="60"/>
            </w:pPr>
          </w:p>
        </w:tc>
        <w:tc>
          <w:tcPr>
            <w:tcW w:w="3510" w:type="dxa"/>
            <w:shd w:val="clear" w:color="auto" w:fill="BFBFBF" w:themeFill="background1" w:themeFillShade="BF"/>
          </w:tcPr>
          <w:p w14:paraId="19B98EDA" w14:textId="77777777" w:rsidR="00874112" w:rsidRPr="00FE5F0C" w:rsidRDefault="00874112" w:rsidP="000C6B8B">
            <w:pPr>
              <w:spacing w:before="60" w:after="60"/>
            </w:pPr>
          </w:p>
        </w:tc>
      </w:tr>
      <w:tr w:rsidR="00874112" w14:paraId="346B85DC" w14:textId="77777777" w:rsidTr="00874112">
        <w:tc>
          <w:tcPr>
            <w:tcW w:w="5490" w:type="dxa"/>
          </w:tcPr>
          <w:p w14:paraId="5D5DAB24" w14:textId="77777777" w:rsidR="00874112" w:rsidRPr="00A3719F" w:rsidRDefault="00874112" w:rsidP="000C6B8B">
            <w:pPr>
              <w:pStyle w:val="ListParagraph"/>
              <w:spacing w:before="60" w:after="60"/>
              <w:ind w:left="345"/>
              <w:contextualSpacing w:val="0"/>
            </w:pPr>
            <w:r>
              <w:t xml:space="preserve">Our monitoring tools include a simple design, key information needed including hyperlinks to law/regs/policy; and are easily accessible, customizable and shareable. </w:t>
            </w:r>
          </w:p>
        </w:tc>
        <w:tc>
          <w:tcPr>
            <w:tcW w:w="1170" w:type="dxa"/>
          </w:tcPr>
          <w:p w14:paraId="6D7B688E" w14:textId="77777777" w:rsidR="00874112" w:rsidRPr="00FE5F0C" w:rsidRDefault="00874112" w:rsidP="000C6B8B">
            <w:pPr>
              <w:spacing w:before="60" w:after="60"/>
            </w:pPr>
          </w:p>
        </w:tc>
        <w:tc>
          <w:tcPr>
            <w:tcW w:w="3510" w:type="dxa"/>
          </w:tcPr>
          <w:p w14:paraId="3266FFAE" w14:textId="77777777" w:rsidR="00874112" w:rsidRPr="00FE5F0C" w:rsidRDefault="00874112" w:rsidP="000C6B8B">
            <w:pPr>
              <w:spacing w:before="60" w:after="60"/>
            </w:pPr>
          </w:p>
        </w:tc>
      </w:tr>
      <w:tr w:rsidR="003C66A7" w14:paraId="6DC7BA20" w14:textId="77777777" w:rsidTr="009A3BAE">
        <w:tc>
          <w:tcPr>
            <w:tcW w:w="10170" w:type="dxa"/>
            <w:gridSpan w:val="3"/>
            <w:shd w:val="clear" w:color="auto" w:fill="BFBFBF" w:themeFill="background1" w:themeFillShade="BF"/>
          </w:tcPr>
          <w:p w14:paraId="7AFD9846" w14:textId="29C118E6" w:rsidR="003C66A7" w:rsidRPr="003C66A7" w:rsidRDefault="003C66A7" w:rsidP="000C6B8B">
            <w:pPr>
              <w:spacing w:before="60" w:after="60"/>
              <w:rPr>
                <w:b/>
              </w:rPr>
            </w:pPr>
            <w:r w:rsidRPr="003C66A7">
              <w:rPr>
                <w:b/>
              </w:rPr>
              <w:t xml:space="preserve">Keeping </w:t>
            </w:r>
            <w:r>
              <w:rPr>
                <w:b/>
              </w:rPr>
              <w:t>M</w:t>
            </w:r>
            <w:r w:rsidRPr="003C66A7">
              <w:rPr>
                <w:b/>
              </w:rPr>
              <w:t xml:space="preserve">onitoring </w:t>
            </w:r>
            <w:r>
              <w:rPr>
                <w:b/>
              </w:rPr>
              <w:t>T</w:t>
            </w:r>
            <w:r w:rsidRPr="003C66A7">
              <w:rPr>
                <w:b/>
              </w:rPr>
              <w:t xml:space="preserve">ools </w:t>
            </w:r>
            <w:r>
              <w:rPr>
                <w:b/>
              </w:rPr>
              <w:t>C</w:t>
            </w:r>
            <w:r w:rsidRPr="003C66A7">
              <w:rPr>
                <w:b/>
              </w:rPr>
              <w:t xml:space="preserve">urrent with </w:t>
            </w:r>
            <w:r>
              <w:rPr>
                <w:b/>
              </w:rPr>
              <w:t>P</w:t>
            </w:r>
            <w:r w:rsidRPr="003C66A7">
              <w:rPr>
                <w:b/>
              </w:rPr>
              <w:t xml:space="preserve">olicy and </w:t>
            </w:r>
            <w:r>
              <w:rPr>
                <w:b/>
              </w:rPr>
              <w:t>T</w:t>
            </w:r>
            <w:r w:rsidRPr="003C66A7">
              <w:rPr>
                <w:b/>
              </w:rPr>
              <w:t>echnology</w:t>
            </w:r>
          </w:p>
        </w:tc>
      </w:tr>
      <w:tr w:rsidR="00874112" w14:paraId="4EF8FA57" w14:textId="77777777" w:rsidTr="00874112">
        <w:tc>
          <w:tcPr>
            <w:tcW w:w="5490" w:type="dxa"/>
          </w:tcPr>
          <w:p w14:paraId="223C51D7" w14:textId="77777777" w:rsidR="00874112" w:rsidRPr="00A3719F" w:rsidRDefault="00874112" w:rsidP="000C6B8B">
            <w:pPr>
              <w:pStyle w:val="ListParagraph"/>
              <w:spacing w:before="60" w:after="60"/>
              <w:ind w:left="345"/>
              <w:contextualSpacing w:val="0"/>
            </w:pPr>
            <w:r>
              <w:t>Our state monitoring system has a process in place to regularly review our monitoring tools, assess for effectiveness and update as needed.</w:t>
            </w:r>
          </w:p>
        </w:tc>
        <w:tc>
          <w:tcPr>
            <w:tcW w:w="1170" w:type="dxa"/>
          </w:tcPr>
          <w:p w14:paraId="7F1C7473" w14:textId="77777777" w:rsidR="00874112" w:rsidRPr="00FE5F0C" w:rsidRDefault="00874112" w:rsidP="000C6B8B">
            <w:pPr>
              <w:spacing w:before="60" w:after="60"/>
            </w:pPr>
          </w:p>
        </w:tc>
        <w:tc>
          <w:tcPr>
            <w:tcW w:w="3510" w:type="dxa"/>
          </w:tcPr>
          <w:p w14:paraId="01AC6DB2" w14:textId="77777777" w:rsidR="00874112" w:rsidRPr="00FE5F0C" w:rsidRDefault="00874112" w:rsidP="000C6B8B">
            <w:pPr>
              <w:spacing w:before="60" w:after="60"/>
            </w:pPr>
          </w:p>
        </w:tc>
      </w:tr>
      <w:tr w:rsidR="00874112" w14:paraId="04D3A36E" w14:textId="77777777" w:rsidTr="00874112">
        <w:tc>
          <w:tcPr>
            <w:tcW w:w="5490" w:type="dxa"/>
          </w:tcPr>
          <w:p w14:paraId="40A8A9AF" w14:textId="77777777" w:rsidR="00874112" w:rsidRPr="00A3719F" w:rsidRDefault="00874112" w:rsidP="000C6B8B">
            <w:pPr>
              <w:pStyle w:val="ListParagraph"/>
              <w:spacing w:before="60" w:after="60"/>
              <w:ind w:left="345"/>
              <w:contextualSpacing w:val="0"/>
            </w:pPr>
            <w:r>
              <w:t xml:space="preserve">Our state regularly explores ways to streamline the design and use of our monitoring tools through technology. </w:t>
            </w:r>
          </w:p>
        </w:tc>
        <w:tc>
          <w:tcPr>
            <w:tcW w:w="1170" w:type="dxa"/>
          </w:tcPr>
          <w:p w14:paraId="21827365" w14:textId="77777777" w:rsidR="00874112" w:rsidRPr="00FE5F0C" w:rsidRDefault="00874112" w:rsidP="000C6B8B">
            <w:pPr>
              <w:spacing w:before="60" w:after="60"/>
            </w:pPr>
          </w:p>
        </w:tc>
        <w:tc>
          <w:tcPr>
            <w:tcW w:w="3510" w:type="dxa"/>
          </w:tcPr>
          <w:p w14:paraId="2491B4D9" w14:textId="77777777" w:rsidR="00874112" w:rsidRPr="00FE5F0C" w:rsidRDefault="00874112" w:rsidP="000C6B8B">
            <w:pPr>
              <w:spacing w:before="60" w:after="60"/>
            </w:pPr>
          </w:p>
        </w:tc>
      </w:tr>
    </w:tbl>
    <w:p w14:paraId="46316816" w14:textId="77777777" w:rsidR="00874112" w:rsidRDefault="00874112" w:rsidP="00874112"/>
    <w:p w14:paraId="7072E583" w14:textId="77777777" w:rsidR="00874112" w:rsidRDefault="00874112" w:rsidP="00874112">
      <w:pPr>
        <w:rPr>
          <w:rFonts w:asciiTheme="majorHAnsi" w:eastAsiaTheme="majorEastAsia" w:hAnsiTheme="majorHAnsi" w:cstheme="majorBidi"/>
          <w:color w:val="164676" w:themeColor="accent1" w:themeShade="BF"/>
          <w:sz w:val="32"/>
          <w:szCs w:val="32"/>
        </w:rPr>
      </w:pPr>
      <w:r>
        <w:br w:type="page"/>
      </w:r>
    </w:p>
    <w:p w14:paraId="02DBC469" w14:textId="77777777" w:rsidR="00874112" w:rsidRDefault="00874112" w:rsidP="00874112">
      <w:pPr>
        <w:pStyle w:val="Heading4"/>
      </w:pPr>
      <w:r>
        <w:lastRenderedPageBreak/>
        <w:t xml:space="preserve">Element 6: Conducting </w:t>
      </w:r>
      <w:r w:rsidRPr="00A7718C">
        <w:t>Effective On-Site Monitoring</w:t>
      </w:r>
    </w:p>
    <w:tbl>
      <w:tblPr>
        <w:tblStyle w:val="TableGridLight"/>
        <w:tblW w:w="10170" w:type="dxa"/>
        <w:tblInd w:w="-365" w:type="dxa"/>
        <w:tblLook w:val="04A0" w:firstRow="1" w:lastRow="0" w:firstColumn="1" w:lastColumn="0" w:noHBand="0" w:noVBand="1"/>
      </w:tblPr>
      <w:tblGrid>
        <w:gridCol w:w="5490"/>
        <w:gridCol w:w="1170"/>
        <w:gridCol w:w="3510"/>
      </w:tblGrid>
      <w:tr w:rsidR="00874112" w14:paraId="3C985515" w14:textId="77777777" w:rsidTr="003F367E">
        <w:trPr>
          <w:tblHeader/>
        </w:trPr>
        <w:tc>
          <w:tcPr>
            <w:tcW w:w="5490" w:type="dxa"/>
            <w:shd w:val="clear" w:color="auto" w:fill="0F2F4F" w:themeFill="accent1" w:themeFillShade="80"/>
          </w:tcPr>
          <w:p w14:paraId="440AA053" w14:textId="77777777" w:rsidR="00874112" w:rsidRPr="00684FEA" w:rsidRDefault="00874112" w:rsidP="000C6B8B">
            <w:pPr>
              <w:spacing w:before="40" w:after="40"/>
              <w:contextualSpacing/>
            </w:pPr>
            <w:r w:rsidRPr="00684FEA">
              <w:t>Topic Area</w:t>
            </w:r>
          </w:p>
        </w:tc>
        <w:tc>
          <w:tcPr>
            <w:tcW w:w="1170" w:type="dxa"/>
            <w:shd w:val="clear" w:color="auto" w:fill="0F2F4F" w:themeFill="accent1" w:themeFillShade="80"/>
          </w:tcPr>
          <w:p w14:paraId="66B56220" w14:textId="77777777" w:rsidR="00874112" w:rsidRPr="00684FEA" w:rsidRDefault="00874112" w:rsidP="000C6B8B">
            <w:pPr>
              <w:spacing w:before="40" w:after="40"/>
              <w:contextualSpacing/>
            </w:pPr>
            <w:r w:rsidRPr="00684FEA">
              <w:t>Rating (1-5)</w:t>
            </w:r>
          </w:p>
        </w:tc>
        <w:tc>
          <w:tcPr>
            <w:tcW w:w="3510" w:type="dxa"/>
            <w:shd w:val="clear" w:color="auto" w:fill="0F2F4F" w:themeFill="accent1" w:themeFillShade="80"/>
          </w:tcPr>
          <w:p w14:paraId="57824B87" w14:textId="77777777" w:rsidR="00874112" w:rsidRPr="00684FEA" w:rsidRDefault="00874112" w:rsidP="000C6B8B">
            <w:pPr>
              <w:spacing w:before="40" w:after="40"/>
              <w:contextualSpacing/>
            </w:pPr>
            <w:r w:rsidRPr="00684FEA">
              <w:t>Notes and Next Steps</w:t>
            </w:r>
          </w:p>
        </w:tc>
      </w:tr>
      <w:tr w:rsidR="00874112" w14:paraId="69BE2E1B" w14:textId="77777777" w:rsidTr="003F367E">
        <w:tc>
          <w:tcPr>
            <w:tcW w:w="5490" w:type="dxa"/>
            <w:shd w:val="clear" w:color="auto" w:fill="BFBFBF" w:themeFill="background1" w:themeFillShade="BF"/>
          </w:tcPr>
          <w:p w14:paraId="3B04D4B4" w14:textId="3C3F6C0F" w:rsidR="00874112" w:rsidRPr="00874112" w:rsidRDefault="00874112" w:rsidP="000C6B8B">
            <w:pPr>
              <w:spacing w:before="40" w:after="40"/>
              <w:contextualSpacing/>
              <w:rPr>
                <w:b/>
              </w:rPr>
            </w:pPr>
            <w:r w:rsidRPr="00874112">
              <w:rPr>
                <w:b/>
              </w:rPr>
              <w:t xml:space="preserve">Monitoring </w:t>
            </w:r>
            <w:r w:rsidR="003C66A7">
              <w:rPr>
                <w:b/>
              </w:rPr>
              <w:t>S</w:t>
            </w:r>
            <w:r w:rsidRPr="00874112">
              <w:rPr>
                <w:b/>
              </w:rPr>
              <w:t>cope</w:t>
            </w:r>
          </w:p>
        </w:tc>
        <w:tc>
          <w:tcPr>
            <w:tcW w:w="1170" w:type="dxa"/>
            <w:shd w:val="clear" w:color="auto" w:fill="BFBFBF" w:themeFill="background1" w:themeFillShade="BF"/>
          </w:tcPr>
          <w:p w14:paraId="4360E192" w14:textId="77777777" w:rsidR="00874112" w:rsidRPr="00FE5F0C" w:rsidRDefault="00874112" w:rsidP="000C6B8B">
            <w:pPr>
              <w:spacing w:before="40" w:after="40"/>
              <w:contextualSpacing/>
            </w:pPr>
          </w:p>
        </w:tc>
        <w:tc>
          <w:tcPr>
            <w:tcW w:w="3510" w:type="dxa"/>
            <w:shd w:val="clear" w:color="auto" w:fill="BFBFBF" w:themeFill="background1" w:themeFillShade="BF"/>
          </w:tcPr>
          <w:p w14:paraId="76BA7241" w14:textId="77777777" w:rsidR="00874112" w:rsidRPr="00FE5F0C" w:rsidRDefault="00874112" w:rsidP="000C6B8B">
            <w:pPr>
              <w:spacing w:before="40" w:after="40"/>
              <w:contextualSpacing/>
            </w:pPr>
          </w:p>
        </w:tc>
      </w:tr>
      <w:tr w:rsidR="00874112" w14:paraId="214AE287" w14:textId="77777777" w:rsidTr="003F367E">
        <w:tc>
          <w:tcPr>
            <w:tcW w:w="5490" w:type="dxa"/>
          </w:tcPr>
          <w:p w14:paraId="3FFBC3CF" w14:textId="77777777" w:rsidR="00874112" w:rsidRPr="00D04C15" w:rsidRDefault="00874112" w:rsidP="000C6B8B">
            <w:pPr>
              <w:pStyle w:val="ListParagraph"/>
              <w:spacing w:before="40" w:after="40"/>
              <w:ind w:left="345"/>
            </w:pPr>
            <w:r w:rsidRPr="00D04C15">
              <w:t>Our state monitoring approach includes the development and updating of a monitoring plan that outlines the areas to be monitored and the focus of each review.</w:t>
            </w:r>
          </w:p>
        </w:tc>
        <w:tc>
          <w:tcPr>
            <w:tcW w:w="1170" w:type="dxa"/>
          </w:tcPr>
          <w:p w14:paraId="3893BBA9" w14:textId="77777777" w:rsidR="00874112" w:rsidRPr="00FE5F0C" w:rsidRDefault="00874112" w:rsidP="000C6B8B">
            <w:pPr>
              <w:spacing w:before="40" w:after="40"/>
              <w:contextualSpacing/>
            </w:pPr>
          </w:p>
        </w:tc>
        <w:tc>
          <w:tcPr>
            <w:tcW w:w="3510" w:type="dxa"/>
          </w:tcPr>
          <w:p w14:paraId="1693059C" w14:textId="77777777" w:rsidR="00874112" w:rsidRPr="00FE5F0C" w:rsidRDefault="00874112" w:rsidP="000C6B8B">
            <w:pPr>
              <w:spacing w:before="40" w:after="40"/>
              <w:contextualSpacing/>
            </w:pPr>
          </w:p>
        </w:tc>
      </w:tr>
      <w:tr w:rsidR="00874112" w14:paraId="506E3ACE" w14:textId="77777777" w:rsidTr="003F367E">
        <w:tc>
          <w:tcPr>
            <w:tcW w:w="5490" w:type="dxa"/>
          </w:tcPr>
          <w:p w14:paraId="50E11901" w14:textId="77777777" w:rsidR="00874112" w:rsidRPr="00D04C15" w:rsidRDefault="00874112" w:rsidP="000C6B8B">
            <w:pPr>
              <w:pStyle w:val="ListParagraph"/>
              <w:spacing w:before="40" w:after="40"/>
              <w:ind w:left="345"/>
            </w:pPr>
            <w:r w:rsidRPr="00D04C15">
              <w:t>Our state monitoring approach is sufficiently flexible to modify the plan to address risks or issues that are identified through continuous monitoring throughout the year.</w:t>
            </w:r>
          </w:p>
        </w:tc>
        <w:tc>
          <w:tcPr>
            <w:tcW w:w="1170" w:type="dxa"/>
          </w:tcPr>
          <w:p w14:paraId="66890B89" w14:textId="77777777" w:rsidR="00874112" w:rsidRPr="00FE5F0C" w:rsidRDefault="00874112" w:rsidP="000C6B8B">
            <w:pPr>
              <w:spacing w:before="40" w:after="40"/>
              <w:contextualSpacing/>
            </w:pPr>
          </w:p>
        </w:tc>
        <w:tc>
          <w:tcPr>
            <w:tcW w:w="3510" w:type="dxa"/>
          </w:tcPr>
          <w:p w14:paraId="328C6E3F" w14:textId="77777777" w:rsidR="00874112" w:rsidRPr="00FE5F0C" w:rsidRDefault="00874112" w:rsidP="000C6B8B">
            <w:pPr>
              <w:spacing w:before="40" w:after="40"/>
              <w:contextualSpacing/>
            </w:pPr>
          </w:p>
        </w:tc>
      </w:tr>
      <w:tr w:rsidR="00874112" w14:paraId="7EFF8665" w14:textId="77777777" w:rsidTr="003F367E">
        <w:tc>
          <w:tcPr>
            <w:tcW w:w="5490" w:type="dxa"/>
            <w:shd w:val="clear" w:color="auto" w:fill="BFBFBF" w:themeFill="background1" w:themeFillShade="BF"/>
          </w:tcPr>
          <w:p w14:paraId="2FD2DB76" w14:textId="58F40097" w:rsidR="00874112" w:rsidRPr="00874112" w:rsidRDefault="00874112" w:rsidP="000C6B8B">
            <w:pPr>
              <w:spacing w:before="40" w:after="40"/>
              <w:contextualSpacing/>
              <w:rPr>
                <w:b/>
              </w:rPr>
            </w:pPr>
            <w:r w:rsidRPr="00874112">
              <w:rPr>
                <w:b/>
              </w:rPr>
              <w:t xml:space="preserve">Preparation for </w:t>
            </w:r>
            <w:r w:rsidR="003C66A7">
              <w:rPr>
                <w:b/>
              </w:rPr>
              <w:t>O</w:t>
            </w:r>
            <w:r w:rsidRPr="00874112">
              <w:rPr>
                <w:b/>
              </w:rPr>
              <w:t xml:space="preserve">n-site </w:t>
            </w:r>
            <w:r w:rsidR="003C66A7">
              <w:rPr>
                <w:b/>
              </w:rPr>
              <w:t>M</w:t>
            </w:r>
            <w:r w:rsidRPr="00874112">
              <w:rPr>
                <w:b/>
              </w:rPr>
              <w:t>onitoring</w:t>
            </w:r>
          </w:p>
        </w:tc>
        <w:tc>
          <w:tcPr>
            <w:tcW w:w="1170" w:type="dxa"/>
            <w:shd w:val="clear" w:color="auto" w:fill="BFBFBF" w:themeFill="background1" w:themeFillShade="BF"/>
          </w:tcPr>
          <w:p w14:paraId="473A038D" w14:textId="77777777" w:rsidR="00874112" w:rsidRPr="00FE5F0C" w:rsidRDefault="00874112" w:rsidP="000C6B8B">
            <w:pPr>
              <w:spacing w:before="40" w:after="40"/>
              <w:contextualSpacing/>
            </w:pPr>
          </w:p>
        </w:tc>
        <w:tc>
          <w:tcPr>
            <w:tcW w:w="3510" w:type="dxa"/>
            <w:shd w:val="clear" w:color="auto" w:fill="BFBFBF" w:themeFill="background1" w:themeFillShade="BF"/>
          </w:tcPr>
          <w:p w14:paraId="17A70F38" w14:textId="77777777" w:rsidR="00874112" w:rsidRPr="00FE5F0C" w:rsidRDefault="00874112" w:rsidP="000C6B8B">
            <w:pPr>
              <w:spacing w:before="40" w:after="40"/>
              <w:contextualSpacing/>
            </w:pPr>
          </w:p>
        </w:tc>
      </w:tr>
      <w:tr w:rsidR="00874112" w14:paraId="7A43E969" w14:textId="77777777" w:rsidTr="003F367E">
        <w:tc>
          <w:tcPr>
            <w:tcW w:w="5490" w:type="dxa"/>
          </w:tcPr>
          <w:p w14:paraId="2BD3D398" w14:textId="77777777" w:rsidR="00874112" w:rsidRPr="00D04C15" w:rsidRDefault="00874112" w:rsidP="000C6B8B">
            <w:pPr>
              <w:pStyle w:val="ListParagraph"/>
              <w:spacing w:before="40" w:after="40"/>
              <w:ind w:left="345"/>
            </w:pPr>
            <w:r w:rsidRPr="00D04C15">
              <w:t>Our state monitors use a clearly defined written process for preparing for on-site monitoring, including using data to develop a strategy/schedule for the review and communication with the grantee and/or sub-recipient and pre-review desk work.</w:t>
            </w:r>
          </w:p>
        </w:tc>
        <w:tc>
          <w:tcPr>
            <w:tcW w:w="1170" w:type="dxa"/>
          </w:tcPr>
          <w:p w14:paraId="78692E48" w14:textId="77777777" w:rsidR="00874112" w:rsidRPr="00FE5F0C" w:rsidRDefault="00874112" w:rsidP="000C6B8B">
            <w:pPr>
              <w:spacing w:before="40" w:after="40"/>
              <w:contextualSpacing/>
            </w:pPr>
          </w:p>
        </w:tc>
        <w:tc>
          <w:tcPr>
            <w:tcW w:w="3510" w:type="dxa"/>
          </w:tcPr>
          <w:p w14:paraId="7621659B" w14:textId="77777777" w:rsidR="00874112" w:rsidRPr="00FE5F0C" w:rsidRDefault="00874112" w:rsidP="000C6B8B">
            <w:pPr>
              <w:spacing w:before="40" w:after="40"/>
              <w:contextualSpacing/>
            </w:pPr>
          </w:p>
        </w:tc>
      </w:tr>
      <w:tr w:rsidR="00874112" w14:paraId="77647568" w14:textId="77777777" w:rsidTr="003F367E">
        <w:tc>
          <w:tcPr>
            <w:tcW w:w="5490" w:type="dxa"/>
            <w:shd w:val="clear" w:color="auto" w:fill="BFBFBF" w:themeFill="background1" w:themeFillShade="BF"/>
          </w:tcPr>
          <w:p w14:paraId="1A5E55F6" w14:textId="6C2D227A" w:rsidR="00874112" w:rsidRPr="00874112" w:rsidRDefault="00874112" w:rsidP="000C6B8B">
            <w:pPr>
              <w:spacing w:before="40" w:after="40"/>
              <w:contextualSpacing/>
              <w:rPr>
                <w:b/>
              </w:rPr>
            </w:pPr>
            <w:r w:rsidRPr="00874112">
              <w:rPr>
                <w:b/>
              </w:rPr>
              <w:t xml:space="preserve">On-site </w:t>
            </w:r>
            <w:r w:rsidR="003C66A7">
              <w:rPr>
                <w:b/>
              </w:rPr>
              <w:t>M</w:t>
            </w:r>
            <w:r w:rsidRPr="00874112">
              <w:rPr>
                <w:b/>
              </w:rPr>
              <w:t xml:space="preserve">onitoring </w:t>
            </w:r>
            <w:r w:rsidR="003C66A7">
              <w:rPr>
                <w:b/>
              </w:rPr>
              <w:t>A</w:t>
            </w:r>
            <w:r w:rsidRPr="00874112">
              <w:rPr>
                <w:b/>
              </w:rPr>
              <w:t>ctivities</w:t>
            </w:r>
          </w:p>
        </w:tc>
        <w:tc>
          <w:tcPr>
            <w:tcW w:w="1170" w:type="dxa"/>
            <w:shd w:val="clear" w:color="auto" w:fill="BFBFBF" w:themeFill="background1" w:themeFillShade="BF"/>
          </w:tcPr>
          <w:p w14:paraId="301478BD" w14:textId="77777777" w:rsidR="00874112" w:rsidRPr="00FE5F0C" w:rsidRDefault="00874112" w:rsidP="000C6B8B">
            <w:pPr>
              <w:spacing w:before="40" w:after="40"/>
              <w:contextualSpacing/>
            </w:pPr>
          </w:p>
        </w:tc>
        <w:tc>
          <w:tcPr>
            <w:tcW w:w="3510" w:type="dxa"/>
            <w:shd w:val="clear" w:color="auto" w:fill="BFBFBF" w:themeFill="background1" w:themeFillShade="BF"/>
          </w:tcPr>
          <w:p w14:paraId="1C68B13F" w14:textId="77777777" w:rsidR="00874112" w:rsidRPr="00FE5F0C" w:rsidRDefault="00874112" w:rsidP="000C6B8B">
            <w:pPr>
              <w:spacing w:before="40" w:after="40"/>
              <w:contextualSpacing/>
            </w:pPr>
          </w:p>
        </w:tc>
      </w:tr>
      <w:tr w:rsidR="00874112" w14:paraId="7AFEB48C" w14:textId="77777777" w:rsidTr="003F367E">
        <w:tc>
          <w:tcPr>
            <w:tcW w:w="5490" w:type="dxa"/>
          </w:tcPr>
          <w:p w14:paraId="63F90779" w14:textId="7234C3AB" w:rsidR="00874112" w:rsidRPr="00D04C15" w:rsidRDefault="00874112" w:rsidP="000C6B8B">
            <w:pPr>
              <w:pStyle w:val="ListParagraph"/>
              <w:spacing w:before="40" w:after="40"/>
              <w:ind w:left="345"/>
            </w:pPr>
            <w:r w:rsidRPr="00D04C15">
              <w:t>Our state monitors follow a clearly defined procedure</w:t>
            </w:r>
            <w:r w:rsidR="00D04C15" w:rsidRPr="00D04C15">
              <w:t>s</w:t>
            </w:r>
            <w:r w:rsidRPr="00D04C15">
              <w:t xml:space="preserve"> for on-site monitoring which includes identification/execution of key activities</w:t>
            </w:r>
            <w:r w:rsidR="00D04C15" w:rsidRPr="00D04C15">
              <w:t xml:space="preserve"> (entrance/ exit </w:t>
            </w:r>
            <w:r w:rsidRPr="00D04C15">
              <w:t>meeting</w:t>
            </w:r>
            <w:r w:rsidR="00D04C15" w:rsidRPr="00D04C15">
              <w:t>s</w:t>
            </w:r>
            <w:r w:rsidRPr="00D04C15">
              <w:t>, interviews, file review</w:t>
            </w:r>
            <w:r w:rsidR="00D04C15" w:rsidRPr="00D04C15">
              <w:t>s</w:t>
            </w:r>
            <w:r w:rsidRPr="00D04C15">
              <w:t>,</w:t>
            </w:r>
            <w:r w:rsidR="00D04C15" w:rsidRPr="00D04C15">
              <w:t xml:space="preserve"> </w:t>
            </w:r>
            <w:r w:rsidRPr="00D04C15">
              <w:t>etc.</w:t>
            </w:r>
          </w:p>
        </w:tc>
        <w:tc>
          <w:tcPr>
            <w:tcW w:w="1170" w:type="dxa"/>
          </w:tcPr>
          <w:p w14:paraId="63A08DFD" w14:textId="77777777" w:rsidR="00874112" w:rsidRPr="00FE5F0C" w:rsidRDefault="00874112" w:rsidP="000C6B8B">
            <w:pPr>
              <w:spacing w:before="40" w:after="40"/>
              <w:contextualSpacing/>
            </w:pPr>
          </w:p>
        </w:tc>
        <w:tc>
          <w:tcPr>
            <w:tcW w:w="3510" w:type="dxa"/>
          </w:tcPr>
          <w:p w14:paraId="2174055E" w14:textId="77777777" w:rsidR="00874112" w:rsidRPr="00FE5F0C" w:rsidRDefault="00874112" w:rsidP="000C6B8B">
            <w:pPr>
              <w:spacing w:before="40" w:after="40"/>
              <w:contextualSpacing/>
            </w:pPr>
          </w:p>
        </w:tc>
      </w:tr>
      <w:tr w:rsidR="00874112" w14:paraId="13CA0100" w14:textId="77777777" w:rsidTr="00426F50">
        <w:tc>
          <w:tcPr>
            <w:tcW w:w="10170" w:type="dxa"/>
            <w:gridSpan w:val="3"/>
            <w:shd w:val="clear" w:color="auto" w:fill="BFBFBF" w:themeFill="background1" w:themeFillShade="BF"/>
          </w:tcPr>
          <w:p w14:paraId="0CF7A6E3" w14:textId="1A47868A" w:rsidR="00874112" w:rsidRPr="00FE5F0C" w:rsidRDefault="00874112" w:rsidP="000C6B8B">
            <w:pPr>
              <w:spacing w:before="40" w:after="40"/>
              <w:contextualSpacing/>
            </w:pPr>
            <w:r w:rsidRPr="00874112">
              <w:rPr>
                <w:b/>
              </w:rPr>
              <w:t xml:space="preserve">Effective </w:t>
            </w:r>
            <w:r w:rsidR="003C66A7">
              <w:rPr>
                <w:b/>
              </w:rPr>
              <w:t>I</w:t>
            </w:r>
            <w:r w:rsidRPr="00874112">
              <w:rPr>
                <w:b/>
              </w:rPr>
              <w:t xml:space="preserve">nterviewing and </w:t>
            </w:r>
            <w:r w:rsidR="003C66A7">
              <w:rPr>
                <w:b/>
              </w:rPr>
              <w:t>F</w:t>
            </w:r>
            <w:r w:rsidRPr="00874112">
              <w:rPr>
                <w:b/>
              </w:rPr>
              <w:t xml:space="preserve">ile </w:t>
            </w:r>
            <w:r w:rsidR="003C66A7">
              <w:rPr>
                <w:b/>
              </w:rPr>
              <w:t>R</w:t>
            </w:r>
            <w:r w:rsidRPr="00874112">
              <w:rPr>
                <w:b/>
              </w:rPr>
              <w:t xml:space="preserve">eview </w:t>
            </w:r>
            <w:r w:rsidR="003C66A7">
              <w:rPr>
                <w:b/>
              </w:rPr>
              <w:t>A</w:t>
            </w:r>
            <w:r w:rsidRPr="00874112">
              <w:rPr>
                <w:b/>
              </w:rPr>
              <w:t>pproaches</w:t>
            </w:r>
          </w:p>
        </w:tc>
      </w:tr>
      <w:tr w:rsidR="00874112" w14:paraId="29CF991A" w14:textId="77777777" w:rsidTr="003F367E">
        <w:tc>
          <w:tcPr>
            <w:tcW w:w="5490" w:type="dxa"/>
          </w:tcPr>
          <w:p w14:paraId="479508C2" w14:textId="6D437B84" w:rsidR="00874112" w:rsidRPr="00D04C15" w:rsidRDefault="00874112" w:rsidP="000C6B8B">
            <w:pPr>
              <w:pStyle w:val="ListParagraph"/>
              <w:spacing w:before="40" w:after="40"/>
              <w:ind w:left="345"/>
            </w:pPr>
            <w:r w:rsidRPr="00D04C15">
              <w:t>Our state invests in training for monitors on engaging staff through interviews</w:t>
            </w:r>
            <w:r w:rsidR="00D04C15" w:rsidRPr="00D04C15">
              <w:t xml:space="preserve"> and </w:t>
            </w:r>
            <w:r w:rsidRPr="00D04C15">
              <w:t>discussion</w:t>
            </w:r>
          </w:p>
        </w:tc>
        <w:tc>
          <w:tcPr>
            <w:tcW w:w="1170" w:type="dxa"/>
          </w:tcPr>
          <w:p w14:paraId="3B7DD750" w14:textId="77777777" w:rsidR="00874112" w:rsidRPr="00FE5F0C" w:rsidRDefault="00874112" w:rsidP="000C6B8B">
            <w:pPr>
              <w:spacing w:before="40" w:after="40"/>
              <w:contextualSpacing/>
            </w:pPr>
          </w:p>
        </w:tc>
        <w:tc>
          <w:tcPr>
            <w:tcW w:w="3510" w:type="dxa"/>
          </w:tcPr>
          <w:p w14:paraId="65B9F3EC" w14:textId="77777777" w:rsidR="00874112" w:rsidRPr="00FE5F0C" w:rsidRDefault="00874112" w:rsidP="000C6B8B">
            <w:pPr>
              <w:spacing w:before="40" w:after="40"/>
              <w:contextualSpacing/>
            </w:pPr>
          </w:p>
        </w:tc>
      </w:tr>
      <w:tr w:rsidR="00874112" w14:paraId="4CF19A55" w14:textId="77777777" w:rsidTr="003F367E">
        <w:tc>
          <w:tcPr>
            <w:tcW w:w="5490" w:type="dxa"/>
          </w:tcPr>
          <w:p w14:paraId="1C31314C" w14:textId="77777777" w:rsidR="00874112" w:rsidRPr="00D04C15" w:rsidRDefault="00874112" w:rsidP="000C6B8B">
            <w:pPr>
              <w:pStyle w:val="ListParagraph"/>
              <w:spacing w:before="40" w:after="40"/>
              <w:ind w:left="345"/>
            </w:pPr>
            <w:r w:rsidRPr="00D04C15">
              <w:t>Our state monitoring approach includes written procedures on conducting an effective participant file review, including selecting a sample of appropriate size and diversity that may provide insight into identified risks and process for accessing the files on-site (if hard copy).</w:t>
            </w:r>
          </w:p>
        </w:tc>
        <w:tc>
          <w:tcPr>
            <w:tcW w:w="1170" w:type="dxa"/>
          </w:tcPr>
          <w:p w14:paraId="263CE297" w14:textId="77777777" w:rsidR="00874112" w:rsidRPr="00FE5F0C" w:rsidRDefault="00874112" w:rsidP="000C6B8B">
            <w:pPr>
              <w:spacing w:before="40" w:after="40"/>
              <w:contextualSpacing/>
            </w:pPr>
          </w:p>
        </w:tc>
        <w:tc>
          <w:tcPr>
            <w:tcW w:w="3510" w:type="dxa"/>
          </w:tcPr>
          <w:p w14:paraId="08CD7441" w14:textId="77777777" w:rsidR="00874112" w:rsidRPr="00FE5F0C" w:rsidRDefault="00874112" w:rsidP="000C6B8B">
            <w:pPr>
              <w:spacing w:before="40" w:after="40"/>
              <w:contextualSpacing/>
            </w:pPr>
          </w:p>
        </w:tc>
      </w:tr>
      <w:tr w:rsidR="00874112" w14:paraId="4AE90B40" w14:textId="77777777" w:rsidTr="003F367E">
        <w:tc>
          <w:tcPr>
            <w:tcW w:w="5490" w:type="dxa"/>
            <w:shd w:val="clear" w:color="auto" w:fill="BFBFBF" w:themeFill="background1" w:themeFillShade="BF"/>
          </w:tcPr>
          <w:p w14:paraId="6BBA9BF9" w14:textId="59471139" w:rsidR="00874112" w:rsidRPr="00874112" w:rsidRDefault="00874112" w:rsidP="000C6B8B">
            <w:pPr>
              <w:spacing w:before="40" w:after="40"/>
              <w:contextualSpacing/>
              <w:rPr>
                <w:b/>
              </w:rPr>
            </w:pPr>
            <w:r w:rsidRPr="00874112">
              <w:rPr>
                <w:b/>
              </w:rPr>
              <w:t xml:space="preserve">Exiting the </w:t>
            </w:r>
            <w:r w:rsidR="003C66A7">
              <w:rPr>
                <w:b/>
              </w:rPr>
              <w:t>R</w:t>
            </w:r>
            <w:r w:rsidRPr="00874112">
              <w:rPr>
                <w:b/>
              </w:rPr>
              <w:t>eview</w:t>
            </w:r>
          </w:p>
        </w:tc>
        <w:tc>
          <w:tcPr>
            <w:tcW w:w="1170" w:type="dxa"/>
            <w:shd w:val="clear" w:color="auto" w:fill="BFBFBF" w:themeFill="background1" w:themeFillShade="BF"/>
          </w:tcPr>
          <w:p w14:paraId="70FE8B47" w14:textId="77777777" w:rsidR="00874112" w:rsidRPr="00FE5F0C" w:rsidRDefault="00874112" w:rsidP="000C6B8B">
            <w:pPr>
              <w:spacing w:before="40" w:after="40"/>
              <w:contextualSpacing/>
            </w:pPr>
          </w:p>
        </w:tc>
        <w:tc>
          <w:tcPr>
            <w:tcW w:w="3510" w:type="dxa"/>
            <w:shd w:val="clear" w:color="auto" w:fill="BFBFBF" w:themeFill="background1" w:themeFillShade="BF"/>
          </w:tcPr>
          <w:p w14:paraId="70320B51" w14:textId="77777777" w:rsidR="00874112" w:rsidRPr="00FE5F0C" w:rsidRDefault="00874112" w:rsidP="000C6B8B">
            <w:pPr>
              <w:spacing w:before="40" w:after="40"/>
              <w:contextualSpacing/>
            </w:pPr>
          </w:p>
        </w:tc>
      </w:tr>
      <w:tr w:rsidR="00874112" w14:paraId="417E3037" w14:textId="77777777" w:rsidTr="003F367E">
        <w:tc>
          <w:tcPr>
            <w:tcW w:w="5490" w:type="dxa"/>
          </w:tcPr>
          <w:p w14:paraId="69617495" w14:textId="77777777" w:rsidR="00874112" w:rsidRPr="00D04C15" w:rsidRDefault="00874112" w:rsidP="000C6B8B">
            <w:pPr>
              <w:pStyle w:val="ListParagraph"/>
              <w:spacing w:before="40" w:after="40"/>
              <w:ind w:left="345"/>
            </w:pPr>
            <w:r w:rsidRPr="00D04C15">
              <w:t>Our state monitoring system includes written procedures regarding on-site communication of review results, including timing of that communication and how to structure and execute the exit meeting.</w:t>
            </w:r>
          </w:p>
        </w:tc>
        <w:tc>
          <w:tcPr>
            <w:tcW w:w="1170" w:type="dxa"/>
          </w:tcPr>
          <w:p w14:paraId="5AC26C44" w14:textId="77777777" w:rsidR="00874112" w:rsidRPr="00FE5F0C" w:rsidRDefault="00874112" w:rsidP="000C6B8B">
            <w:pPr>
              <w:spacing w:before="40" w:after="40"/>
              <w:contextualSpacing/>
            </w:pPr>
          </w:p>
        </w:tc>
        <w:tc>
          <w:tcPr>
            <w:tcW w:w="3510" w:type="dxa"/>
          </w:tcPr>
          <w:p w14:paraId="6FC05B5F" w14:textId="77777777" w:rsidR="00874112" w:rsidRPr="00FE5F0C" w:rsidRDefault="00874112" w:rsidP="000C6B8B">
            <w:pPr>
              <w:spacing w:before="40" w:after="40"/>
              <w:contextualSpacing/>
            </w:pPr>
          </w:p>
        </w:tc>
      </w:tr>
    </w:tbl>
    <w:p w14:paraId="797B4CAE" w14:textId="77777777" w:rsidR="00874112" w:rsidRDefault="00874112" w:rsidP="00874112">
      <w:pPr>
        <w:pStyle w:val="Heading4"/>
      </w:pPr>
      <w:r>
        <w:lastRenderedPageBreak/>
        <w:t xml:space="preserve">Element 7: </w:t>
      </w:r>
      <w:r w:rsidRPr="00A7718C">
        <w:t>Leveraging Monitoring as a Tool for Continuous Improvement</w:t>
      </w:r>
    </w:p>
    <w:tbl>
      <w:tblPr>
        <w:tblStyle w:val="TableGridLight"/>
        <w:tblW w:w="10170" w:type="dxa"/>
        <w:tblInd w:w="-365" w:type="dxa"/>
        <w:tblLook w:val="04A0" w:firstRow="1" w:lastRow="0" w:firstColumn="1" w:lastColumn="0" w:noHBand="0" w:noVBand="1"/>
      </w:tblPr>
      <w:tblGrid>
        <w:gridCol w:w="5490"/>
        <w:gridCol w:w="1170"/>
        <w:gridCol w:w="3510"/>
      </w:tblGrid>
      <w:tr w:rsidR="00874112" w14:paraId="54470E52" w14:textId="77777777" w:rsidTr="003F367E">
        <w:trPr>
          <w:tblHeader/>
        </w:trPr>
        <w:tc>
          <w:tcPr>
            <w:tcW w:w="5490" w:type="dxa"/>
            <w:shd w:val="clear" w:color="auto" w:fill="0F2F4F" w:themeFill="accent1" w:themeFillShade="80"/>
          </w:tcPr>
          <w:p w14:paraId="0A39B3C3" w14:textId="77777777" w:rsidR="00874112" w:rsidRPr="00684FEA" w:rsidRDefault="00874112" w:rsidP="00874112">
            <w:pPr>
              <w:spacing w:before="60" w:after="60"/>
            </w:pPr>
            <w:r w:rsidRPr="00684FEA">
              <w:t>Topic Area</w:t>
            </w:r>
          </w:p>
        </w:tc>
        <w:tc>
          <w:tcPr>
            <w:tcW w:w="1170" w:type="dxa"/>
            <w:shd w:val="clear" w:color="auto" w:fill="0F2F4F" w:themeFill="accent1" w:themeFillShade="80"/>
          </w:tcPr>
          <w:p w14:paraId="62B1FFC0" w14:textId="77777777" w:rsidR="00874112" w:rsidRPr="00684FEA" w:rsidRDefault="00874112" w:rsidP="00874112">
            <w:pPr>
              <w:spacing w:before="60" w:after="60"/>
            </w:pPr>
            <w:r w:rsidRPr="00684FEA">
              <w:t>Rating (1-5)</w:t>
            </w:r>
          </w:p>
        </w:tc>
        <w:tc>
          <w:tcPr>
            <w:tcW w:w="3510" w:type="dxa"/>
            <w:shd w:val="clear" w:color="auto" w:fill="0F2F4F" w:themeFill="accent1" w:themeFillShade="80"/>
          </w:tcPr>
          <w:p w14:paraId="61AD66A1" w14:textId="77777777" w:rsidR="00874112" w:rsidRPr="00684FEA" w:rsidRDefault="00874112" w:rsidP="00874112">
            <w:pPr>
              <w:spacing w:before="60" w:after="60"/>
            </w:pPr>
            <w:r w:rsidRPr="00684FEA">
              <w:t>Notes and Next Steps</w:t>
            </w:r>
          </w:p>
        </w:tc>
      </w:tr>
      <w:tr w:rsidR="00874112" w14:paraId="436D3215" w14:textId="77777777" w:rsidTr="00874112">
        <w:trPr>
          <w:trHeight w:val="413"/>
        </w:trPr>
        <w:tc>
          <w:tcPr>
            <w:tcW w:w="10170" w:type="dxa"/>
            <w:gridSpan w:val="3"/>
            <w:shd w:val="clear" w:color="auto" w:fill="BFBFBF" w:themeFill="background1" w:themeFillShade="BF"/>
          </w:tcPr>
          <w:p w14:paraId="44FD45D7" w14:textId="2B2A545E" w:rsidR="00874112" w:rsidRPr="003C66A7" w:rsidRDefault="00874112" w:rsidP="00874112">
            <w:pPr>
              <w:spacing w:before="60" w:after="60"/>
              <w:rPr>
                <w:b/>
              </w:rPr>
            </w:pPr>
            <w:bookmarkStart w:id="1" w:name="_Toc515514492"/>
            <w:bookmarkStart w:id="2" w:name="_Toc515526695"/>
            <w:bookmarkStart w:id="3" w:name="_Toc515526782"/>
            <w:r w:rsidRPr="003C66A7">
              <w:rPr>
                <w:b/>
              </w:rPr>
              <w:t xml:space="preserve">Communicating </w:t>
            </w:r>
            <w:r w:rsidR="003C66A7">
              <w:rPr>
                <w:b/>
              </w:rPr>
              <w:t>F</w:t>
            </w:r>
            <w:r w:rsidRPr="003C66A7">
              <w:rPr>
                <w:b/>
              </w:rPr>
              <w:t xml:space="preserve">indings, </w:t>
            </w:r>
            <w:r w:rsidR="003C66A7">
              <w:rPr>
                <w:b/>
              </w:rPr>
              <w:t>C</w:t>
            </w:r>
            <w:r w:rsidRPr="003C66A7">
              <w:rPr>
                <w:b/>
              </w:rPr>
              <w:t xml:space="preserve">orrective </w:t>
            </w:r>
            <w:r w:rsidR="003C66A7">
              <w:rPr>
                <w:b/>
              </w:rPr>
              <w:t>A</w:t>
            </w:r>
            <w:r w:rsidRPr="003C66A7">
              <w:rPr>
                <w:b/>
              </w:rPr>
              <w:t xml:space="preserve">ction, </w:t>
            </w:r>
            <w:r w:rsidR="003C66A7">
              <w:rPr>
                <w:b/>
              </w:rPr>
              <w:t>A</w:t>
            </w:r>
            <w:r w:rsidRPr="003C66A7">
              <w:rPr>
                <w:b/>
              </w:rPr>
              <w:t xml:space="preserve">reas of </w:t>
            </w:r>
            <w:r w:rsidR="003C66A7">
              <w:rPr>
                <w:b/>
              </w:rPr>
              <w:t>C</w:t>
            </w:r>
            <w:r w:rsidRPr="003C66A7">
              <w:rPr>
                <w:b/>
              </w:rPr>
              <w:t xml:space="preserve">oncern and </w:t>
            </w:r>
            <w:r w:rsidR="003C66A7">
              <w:rPr>
                <w:b/>
              </w:rPr>
              <w:t>E</w:t>
            </w:r>
            <w:r w:rsidRPr="003C66A7">
              <w:rPr>
                <w:b/>
              </w:rPr>
              <w:t xml:space="preserve">ffective </w:t>
            </w:r>
            <w:r w:rsidR="003C66A7">
              <w:rPr>
                <w:b/>
              </w:rPr>
              <w:t>P</w:t>
            </w:r>
            <w:r w:rsidRPr="003C66A7">
              <w:rPr>
                <w:b/>
              </w:rPr>
              <w:t>ractices</w:t>
            </w:r>
            <w:bookmarkEnd w:id="1"/>
            <w:bookmarkEnd w:id="2"/>
            <w:bookmarkEnd w:id="3"/>
          </w:p>
        </w:tc>
      </w:tr>
      <w:tr w:rsidR="00874112" w14:paraId="57A724CE" w14:textId="77777777" w:rsidTr="003F367E">
        <w:tc>
          <w:tcPr>
            <w:tcW w:w="5490" w:type="dxa"/>
          </w:tcPr>
          <w:p w14:paraId="4F271576" w14:textId="77777777" w:rsidR="00874112" w:rsidRPr="00A3719F" w:rsidRDefault="00874112" w:rsidP="003F367E">
            <w:pPr>
              <w:pStyle w:val="ListParagraph"/>
              <w:ind w:left="345"/>
            </w:pPr>
            <w:r>
              <w:t>Our state monitoring approach includes training monitors on how to craft clear and well-written reports, monitoring report template(s), procedures for report writing, and clearly defined process for report issuance.</w:t>
            </w:r>
          </w:p>
        </w:tc>
        <w:tc>
          <w:tcPr>
            <w:tcW w:w="1170" w:type="dxa"/>
          </w:tcPr>
          <w:p w14:paraId="296F34CC" w14:textId="77777777" w:rsidR="00874112" w:rsidRPr="00FE5F0C" w:rsidRDefault="00874112" w:rsidP="00874112">
            <w:pPr>
              <w:spacing w:before="60" w:after="60"/>
            </w:pPr>
          </w:p>
        </w:tc>
        <w:tc>
          <w:tcPr>
            <w:tcW w:w="3510" w:type="dxa"/>
          </w:tcPr>
          <w:p w14:paraId="2A49434A" w14:textId="77777777" w:rsidR="00874112" w:rsidRPr="00FE5F0C" w:rsidRDefault="00874112" w:rsidP="00874112">
            <w:pPr>
              <w:spacing w:before="60" w:after="60"/>
            </w:pPr>
          </w:p>
        </w:tc>
      </w:tr>
      <w:tr w:rsidR="003C66A7" w14:paraId="189941C9" w14:textId="77777777" w:rsidTr="00860D08">
        <w:tc>
          <w:tcPr>
            <w:tcW w:w="10170" w:type="dxa"/>
            <w:gridSpan w:val="3"/>
            <w:shd w:val="clear" w:color="auto" w:fill="BFBFBF" w:themeFill="background1" w:themeFillShade="BF"/>
          </w:tcPr>
          <w:p w14:paraId="050B2BBA" w14:textId="4A8C9DA6" w:rsidR="003C66A7" w:rsidRPr="003C66A7" w:rsidRDefault="003C66A7" w:rsidP="00874112">
            <w:pPr>
              <w:spacing w:before="60" w:after="60"/>
              <w:rPr>
                <w:b/>
              </w:rPr>
            </w:pPr>
            <w:r w:rsidRPr="003C66A7">
              <w:rPr>
                <w:b/>
              </w:rPr>
              <w:t>Findings, Area of Concern</w:t>
            </w:r>
            <w:r>
              <w:rPr>
                <w:b/>
              </w:rPr>
              <w:t>,</w:t>
            </w:r>
            <w:r w:rsidRPr="003C66A7">
              <w:rPr>
                <w:b/>
              </w:rPr>
              <w:t xml:space="preserve"> and Effective Practices </w:t>
            </w:r>
            <w:r>
              <w:rPr>
                <w:b/>
              </w:rPr>
              <w:t>D</w:t>
            </w:r>
            <w:r w:rsidRPr="003C66A7">
              <w:rPr>
                <w:b/>
              </w:rPr>
              <w:t>efinitions</w:t>
            </w:r>
          </w:p>
        </w:tc>
      </w:tr>
      <w:tr w:rsidR="00874112" w14:paraId="2FF9A9FC" w14:textId="77777777" w:rsidTr="000C6B8B">
        <w:trPr>
          <w:trHeight w:val="966"/>
        </w:trPr>
        <w:tc>
          <w:tcPr>
            <w:tcW w:w="5490" w:type="dxa"/>
          </w:tcPr>
          <w:p w14:paraId="4A7D6CDF" w14:textId="77777777" w:rsidR="00874112" w:rsidRPr="00A3719F" w:rsidRDefault="00874112" w:rsidP="003F367E">
            <w:pPr>
              <w:pStyle w:val="ListParagraph"/>
              <w:ind w:left="345"/>
            </w:pPr>
            <w:r>
              <w:t>Our state monitors have written definitions for key terms used in monitoring reports that are consistent with the definitions in the Framework.</w:t>
            </w:r>
          </w:p>
        </w:tc>
        <w:tc>
          <w:tcPr>
            <w:tcW w:w="1170" w:type="dxa"/>
          </w:tcPr>
          <w:p w14:paraId="48C69156" w14:textId="77777777" w:rsidR="00874112" w:rsidRPr="00FE5F0C" w:rsidRDefault="00874112" w:rsidP="00874112">
            <w:pPr>
              <w:spacing w:before="60" w:after="60"/>
            </w:pPr>
          </w:p>
        </w:tc>
        <w:tc>
          <w:tcPr>
            <w:tcW w:w="3510" w:type="dxa"/>
          </w:tcPr>
          <w:p w14:paraId="04C2606B" w14:textId="77777777" w:rsidR="00874112" w:rsidRPr="00FE5F0C" w:rsidRDefault="00874112" w:rsidP="00874112">
            <w:pPr>
              <w:spacing w:before="60" w:after="60"/>
            </w:pPr>
          </w:p>
        </w:tc>
      </w:tr>
      <w:tr w:rsidR="00874112" w14:paraId="7EFDDF83" w14:textId="77777777" w:rsidTr="000C6B8B">
        <w:trPr>
          <w:trHeight w:val="984"/>
        </w:trPr>
        <w:tc>
          <w:tcPr>
            <w:tcW w:w="5490" w:type="dxa"/>
          </w:tcPr>
          <w:p w14:paraId="17FAFC78" w14:textId="77777777" w:rsidR="00874112" w:rsidRPr="00A3719F" w:rsidRDefault="00874112" w:rsidP="003F367E">
            <w:pPr>
              <w:pStyle w:val="ListParagraph"/>
              <w:ind w:left="345"/>
            </w:pPr>
            <w:r>
              <w:t>Our state has provided training and/or instruction to staff (monitors) to ensure they fully understand the key terms used in monitoring reports.</w:t>
            </w:r>
          </w:p>
        </w:tc>
        <w:tc>
          <w:tcPr>
            <w:tcW w:w="1170" w:type="dxa"/>
          </w:tcPr>
          <w:p w14:paraId="12B44BDB" w14:textId="77777777" w:rsidR="00874112" w:rsidRPr="00FE5F0C" w:rsidRDefault="00874112" w:rsidP="00874112">
            <w:pPr>
              <w:spacing w:before="60" w:after="60"/>
            </w:pPr>
          </w:p>
        </w:tc>
        <w:tc>
          <w:tcPr>
            <w:tcW w:w="3510" w:type="dxa"/>
          </w:tcPr>
          <w:p w14:paraId="29CED63E" w14:textId="77777777" w:rsidR="00874112" w:rsidRPr="00FE5F0C" w:rsidRDefault="00874112" w:rsidP="00874112">
            <w:pPr>
              <w:spacing w:before="60" w:after="60"/>
            </w:pPr>
          </w:p>
        </w:tc>
      </w:tr>
      <w:tr w:rsidR="00874112" w14:paraId="29F06F79" w14:textId="77777777" w:rsidTr="003F367E">
        <w:tc>
          <w:tcPr>
            <w:tcW w:w="5490" w:type="dxa"/>
            <w:shd w:val="clear" w:color="auto" w:fill="BFBFBF" w:themeFill="background1" w:themeFillShade="BF"/>
          </w:tcPr>
          <w:p w14:paraId="6C74A05E" w14:textId="3875ECE9" w:rsidR="00874112" w:rsidRPr="003C66A7" w:rsidRDefault="00874112" w:rsidP="00874112">
            <w:pPr>
              <w:spacing w:before="60" w:after="60"/>
              <w:rPr>
                <w:b/>
              </w:rPr>
            </w:pPr>
            <w:r w:rsidRPr="003C66A7">
              <w:rPr>
                <w:b/>
              </w:rPr>
              <w:t xml:space="preserve">Managing </w:t>
            </w:r>
            <w:r w:rsidR="003C66A7">
              <w:rPr>
                <w:b/>
              </w:rPr>
              <w:t>C</w:t>
            </w:r>
            <w:r w:rsidRPr="003C66A7">
              <w:rPr>
                <w:b/>
              </w:rPr>
              <w:t xml:space="preserve">orrective </w:t>
            </w:r>
            <w:r w:rsidR="003C66A7">
              <w:rPr>
                <w:b/>
              </w:rPr>
              <w:t>A</w:t>
            </w:r>
            <w:r w:rsidRPr="003C66A7">
              <w:rPr>
                <w:b/>
              </w:rPr>
              <w:t>ction</w:t>
            </w:r>
          </w:p>
        </w:tc>
        <w:tc>
          <w:tcPr>
            <w:tcW w:w="1170" w:type="dxa"/>
            <w:shd w:val="clear" w:color="auto" w:fill="BFBFBF" w:themeFill="background1" w:themeFillShade="BF"/>
          </w:tcPr>
          <w:p w14:paraId="5139390C" w14:textId="77777777" w:rsidR="00874112" w:rsidRPr="00FE5F0C" w:rsidRDefault="00874112" w:rsidP="00874112">
            <w:pPr>
              <w:spacing w:before="60" w:after="60"/>
            </w:pPr>
          </w:p>
        </w:tc>
        <w:tc>
          <w:tcPr>
            <w:tcW w:w="3510" w:type="dxa"/>
            <w:shd w:val="clear" w:color="auto" w:fill="BFBFBF" w:themeFill="background1" w:themeFillShade="BF"/>
          </w:tcPr>
          <w:p w14:paraId="1B4E67CA" w14:textId="77777777" w:rsidR="00874112" w:rsidRPr="00FE5F0C" w:rsidRDefault="00874112" w:rsidP="00874112">
            <w:pPr>
              <w:spacing w:before="60" w:after="60"/>
            </w:pPr>
          </w:p>
        </w:tc>
      </w:tr>
      <w:tr w:rsidR="00874112" w14:paraId="22A5BF81" w14:textId="77777777" w:rsidTr="000C6B8B">
        <w:trPr>
          <w:trHeight w:val="1488"/>
        </w:trPr>
        <w:tc>
          <w:tcPr>
            <w:tcW w:w="5490" w:type="dxa"/>
          </w:tcPr>
          <w:p w14:paraId="07F14C8D" w14:textId="77777777" w:rsidR="00874112" w:rsidRPr="00A3719F" w:rsidRDefault="00874112" w:rsidP="003F367E">
            <w:pPr>
              <w:pStyle w:val="ListParagraph"/>
              <w:ind w:left="345"/>
            </w:pPr>
            <w:r>
              <w:t xml:space="preserve">Our state monitors view findings and identified issues as “co-owned” by the state and sub-recipient and require active tracking and follow-up. A tracking tool may be used to monitor all corrective actions. </w:t>
            </w:r>
          </w:p>
        </w:tc>
        <w:tc>
          <w:tcPr>
            <w:tcW w:w="1170" w:type="dxa"/>
          </w:tcPr>
          <w:p w14:paraId="4F127DA9" w14:textId="77777777" w:rsidR="00874112" w:rsidRPr="00FE5F0C" w:rsidRDefault="00874112" w:rsidP="00874112">
            <w:pPr>
              <w:spacing w:before="60" w:after="60"/>
            </w:pPr>
          </w:p>
        </w:tc>
        <w:tc>
          <w:tcPr>
            <w:tcW w:w="3510" w:type="dxa"/>
          </w:tcPr>
          <w:p w14:paraId="136B9E54" w14:textId="77777777" w:rsidR="00874112" w:rsidRPr="00FE5F0C" w:rsidRDefault="00874112" w:rsidP="00874112">
            <w:pPr>
              <w:spacing w:before="60" w:after="60"/>
            </w:pPr>
          </w:p>
        </w:tc>
      </w:tr>
      <w:tr w:rsidR="003C66A7" w14:paraId="3E365473" w14:textId="77777777" w:rsidTr="00F11916">
        <w:tc>
          <w:tcPr>
            <w:tcW w:w="10170" w:type="dxa"/>
            <w:gridSpan w:val="3"/>
            <w:shd w:val="clear" w:color="auto" w:fill="BFBFBF" w:themeFill="background1" w:themeFillShade="BF"/>
          </w:tcPr>
          <w:p w14:paraId="15F6F589" w14:textId="0B7F7F10" w:rsidR="003C66A7" w:rsidRPr="00B201A0" w:rsidRDefault="003C66A7" w:rsidP="00874112">
            <w:pPr>
              <w:spacing w:before="60" w:after="60"/>
            </w:pPr>
            <w:r w:rsidRPr="003C66A7">
              <w:rPr>
                <w:b/>
              </w:rPr>
              <w:t xml:space="preserve">Developing and </w:t>
            </w:r>
            <w:r>
              <w:rPr>
                <w:b/>
              </w:rPr>
              <w:t>D</w:t>
            </w:r>
            <w:r w:rsidRPr="003C66A7">
              <w:rPr>
                <w:b/>
              </w:rPr>
              <w:t xml:space="preserve">elivering </w:t>
            </w:r>
            <w:r>
              <w:rPr>
                <w:b/>
              </w:rPr>
              <w:t>T</w:t>
            </w:r>
            <w:r w:rsidRPr="003C66A7">
              <w:rPr>
                <w:b/>
              </w:rPr>
              <w:t xml:space="preserve">echnical </w:t>
            </w:r>
            <w:r>
              <w:rPr>
                <w:b/>
              </w:rPr>
              <w:t>A</w:t>
            </w:r>
            <w:r w:rsidRPr="003C66A7">
              <w:rPr>
                <w:b/>
              </w:rPr>
              <w:t>ssistance</w:t>
            </w:r>
          </w:p>
        </w:tc>
      </w:tr>
      <w:tr w:rsidR="00874112" w14:paraId="29289352" w14:textId="77777777" w:rsidTr="000C6B8B">
        <w:trPr>
          <w:trHeight w:val="1218"/>
        </w:trPr>
        <w:tc>
          <w:tcPr>
            <w:tcW w:w="5490" w:type="dxa"/>
          </w:tcPr>
          <w:p w14:paraId="455284C9" w14:textId="77777777" w:rsidR="00874112" w:rsidRPr="00B201A0" w:rsidRDefault="00874112" w:rsidP="003F367E">
            <w:pPr>
              <w:pStyle w:val="ListParagraph"/>
              <w:ind w:left="345"/>
            </w:pPr>
            <w:r>
              <w:t>Our state monitoring approach includes written guidance defining technical assistance and its critical role in helping to resolve issues at the local level.</w:t>
            </w:r>
          </w:p>
        </w:tc>
        <w:tc>
          <w:tcPr>
            <w:tcW w:w="1170" w:type="dxa"/>
          </w:tcPr>
          <w:p w14:paraId="09BCF807" w14:textId="77777777" w:rsidR="00874112" w:rsidRPr="00B201A0" w:rsidRDefault="00874112" w:rsidP="00874112">
            <w:pPr>
              <w:spacing w:before="60" w:after="60"/>
            </w:pPr>
          </w:p>
        </w:tc>
        <w:tc>
          <w:tcPr>
            <w:tcW w:w="3510" w:type="dxa"/>
          </w:tcPr>
          <w:p w14:paraId="3183D253" w14:textId="77777777" w:rsidR="00874112" w:rsidRPr="00B201A0" w:rsidRDefault="00874112" w:rsidP="00874112">
            <w:pPr>
              <w:spacing w:before="60" w:after="60"/>
            </w:pPr>
          </w:p>
        </w:tc>
      </w:tr>
      <w:tr w:rsidR="00874112" w14:paraId="2118C0BF" w14:textId="77777777" w:rsidTr="000C6B8B">
        <w:trPr>
          <w:trHeight w:val="966"/>
        </w:trPr>
        <w:tc>
          <w:tcPr>
            <w:tcW w:w="5490" w:type="dxa"/>
          </w:tcPr>
          <w:p w14:paraId="14A86A1D" w14:textId="77777777" w:rsidR="00874112" w:rsidRDefault="00874112" w:rsidP="003F367E">
            <w:pPr>
              <w:pStyle w:val="ListParagraph"/>
              <w:ind w:left="345"/>
            </w:pPr>
            <w:r>
              <w:t>Our state monitoring approach includes defined expectations and process for monitors to document, share and leverage strong practices.</w:t>
            </w:r>
          </w:p>
        </w:tc>
        <w:tc>
          <w:tcPr>
            <w:tcW w:w="1170" w:type="dxa"/>
          </w:tcPr>
          <w:p w14:paraId="1BFB8C4A" w14:textId="77777777" w:rsidR="00874112" w:rsidRPr="00B201A0" w:rsidRDefault="00874112" w:rsidP="00874112">
            <w:pPr>
              <w:spacing w:before="60" w:after="60"/>
            </w:pPr>
          </w:p>
        </w:tc>
        <w:tc>
          <w:tcPr>
            <w:tcW w:w="3510" w:type="dxa"/>
          </w:tcPr>
          <w:p w14:paraId="1C41BDBD" w14:textId="77777777" w:rsidR="00874112" w:rsidRPr="00B201A0" w:rsidRDefault="00874112" w:rsidP="00874112">
            <w:pPr>
              <w:spacing w:before="60" w:after="60"/>
            </w:pPr>
          </w:p>
        </w:tc>
      </w:tr>
      <w:tr w:rsidR="00874112" w:rsidRPr="00B201A0" w14:paraId="677812FC" w14:textId="77777777" w:rsidTr="003F367E">
        <w:tc>
          <w:tcPr>
            <w:tcW w:w="5490" w:type="dxa"/>
            <w:shd w:val="clear" w:color="auto" w:fill="BFBFBF" w:themeFill="background1" w:themeFillShade="BF"/>
          </w:tcPr>
          <w:p w14:paraId="4DA724FF" w14:textId="4C6A5D7D" w:rsidR="00874112" w:rsidRPr="003C66A7" w:rsidRDefault="00874112" w:rsidP="00874112">
            <w:pPr>
              <w:spacing w:before="60" w:after="60"/>
              <w:rPr>
                <w:b/>
              </w:rPr>
            </w:pPr>
            <w:r w:rsidRPr="003C66A7">
              <w:rPr>
                <w:b/>
              </w:rPr>
              <w:t xml:space="preserve">Targeted </w:t>
            </w:r>
            <w:r w:rsidR="003C66A7">
              <w:rPr>
                <w:b/>
              </w:rPr>
              <w:t>T</w:t>
            </w:r>
            <w:r w:rsidRPr="003C66A7">
              <w:rPr>
                <w:b/>
              </w:rPr>
              <w:t xml:space="preserve">echnical </w:t>
            </w:r>
            <w:r w:rsidR="003C66A7">
              <w:rPr>
                <w:b/>
              </w:rPr>
              <w:t>A</w:t>
            </w:r>
            <w:r w:rsidRPr="003C66A7">
              <w:rPr>
                <w:b/>
              </w:rPr>
              <w:t>ssistance</w:t>
            </w:r>
          </w:p>
        </w:tc>
        <w:tc>
          <w:tcPr>
            <w:tcW w:w="1170" w:type="dxa"/>
            <w:shd w:val="clear" w:color="auto" w:fill="BFBFBF" w:themeFill="background1" w:themeFillShade="BF"/>
          </w:tcPr>
          <w:p w14:paraId="20431AAA" w14:textId="77777777" w:rsidR="00874112" w:rsidRPr="00B201A0" w:rsidRDefault="00874112" w:rsidP="00874112">
            <w:pPr>
              <w:spacing w:before="60" w:after="60"/>
            </w:pPr>
          </w:p>
        </w:tc>
        <w:tc>
          <w:tcPr>
            <w:tcW w:w="3510" w:type="dxa"/>
            <w:shd w:val="clear" w:color="auto" w:fill="BFBFBF" w:themeFill="background1" w:themeFillShade="BF"/>
          </w:tcPr>
          <w:p w14:paraId="49629EEF" w14:textId="77777777" w:rsidR="00874112" w:rsidRPr="00B201A0" w:rsidRDefault="00874112" w:rsidP="00874112">
            <w:pPr>
              <w:spacing w:before="60" w:after="60"/>
            </w:pPr>
          </w:p>
        </w:tc>
      </w:tr>
      <w:tr w:rsidR="00874112" w:rsidRPr="00B201A0" w14:paraId="0FC863EE" w14:textId="77777777" w:rsidTr="003F367E">
        <w:tc>
          <w:tcPr>
            <w:tcW w:w="5490" w:type="dxa"/>
            <w:shd w:val="clear" w:color="auto" w:fill="FFFFFF" w:themeFill="background1"/>
          </w:tcPr>
          <w:p w14:paraId="047D376D" w14:textId="77777777" w:rsidR="00874112" w:rsidRPr="00B201A0" w:rsidRDefault="00874112" w:rsidP="003F367E">
            <w:pPr>
              <w:pStyle w:val="ListParagraph"/>
              <w:ind w:left="345"/>
            </w:pPr>
            <w:r>
              <w:t>Our state monitoring approach includes written guidance and process for monitors to develop technical assistance plans in collaboration with grantees and/or subrecipients.</w:t>
            </w:r>
          </w:p>
        </w:tc>
        <w:tc>
          <w:tcPr>
            <w:tcW w:w="1170" w:type="dxa"/>
            <w:shd w:val="clear" w:color="auto" w:fill="FFFFFF" w:themeFill="background1"/>
          </w:tcPr>
          <w:p w14:paraId="52C3F6F6" w14:textId="77777777" w:rsidR="00874112" w:rsidRPr="00B201A0" w:rsidRDefault="00874112" w:rsidP="00874112">
            <w:pPr>
              <w:spacing w:before="60" w:after="60"/>
            </w:pPr>
          </w:p>
        </w:tc>
        <w:tc>
          <w:tcPr>
            <w:tcW w:w="3510" w:type="dxa"/>
            <w:shd w:val="clear" w:color="auto" w:fill="FFFFFF" w:themeFill="background1"/>
          </w:tcPr>
          <w:p w14:paraId="42E61535" w14:textId="77777777" w:rsidR="00874112" w:rsidRPr="00B201A0" w:rsidRDefault="00874112" w:rsidP="00874112">
            <w:pPr>
              <w:spacing w:before="60" w:after="60"/>
            </w:pPr>
          </w:p>
        </w:tc>
      </w:tr>
      <w:tr w:rsidR="00874112" w:rsidRPr="00B201A0" w14:paraId="22F68313" w14:textId="77777777" w:rsidTr="003F367E">
        <w:tc>
          <w:tcPr>
            <w:tcW w:w="5490" w:type="dxa"/>
            <w:shd w:val="clear" w:color="auto" w:fill="BFBFBF" w:themeFill="background1" w:themeFillShade="BF"/>
          </w:tcPr>
          <w:p w14:paraId="15AE547D" w14:textId="547D7C3B" w:rsidR="00874112" w:rsidRPr="003C66A7" w:rsidRDefault="00874112" w:rsidP="00874112">
            <w:pPr>
              <w:spacing w:before="60" w:after="60"/>
              <w:rPr>
                <w:b/>
              </w:rPr>
            </w:pPr>
            <w:r w:rsidRPr="003C66A7">
              <w:rPr>
                <w:b/>
              </w:rPr>
              <w:lastRenderedPageBreak/>
              <w:t xml:space="preserve">Technical </w:t>
            </w:r>
            <w:r w:rsidR="003C66A7">
              <w:rPr>
                <w:b/>
              </w:rPr>
              <w:t>A</w:t>
            </w:r>
            <w:r w:rsidRPr="003C66A7">
              <w:rPr>
                <w:b/>
              </w:rPr>
              <w:t xml:space="preserve">ssistance to </w:t>
            </w:r>
            <w:r w:rsidR="003C66A7">
              <w:rPr>
                <w:b/>
              </w:rPr>
              <w:t>A</w:t>
            </w:r>
            <w:r w:rsidRPr="003C66A7">
              <w:rPr>
                <w:b/>
              </w:rPr>
              <w:t xml:space="preserve">ddress </w:t>
            </w:r>
            <w:r w:rsidR="003C66A7">
              <w:rPr>
                <w:b/>
              </w:rPr>
              <w:t>T</w:t>
            </w:r>
            <w:r w:rsidRPr="003C66A7">
              <w:rPr>
                <w:b/>
              </w:rPr>
              <w:t>hemes</w:t>
            </w:r>
          </w:p>
        </w:tc>
        <w:tc>
          <w:tcPr>
            <w:tcW w:w="1170" w:type="dxa"/>
            <w:shd w:val="clear" w:color="auto" w:fill="BFBFBF" w:themeFill="background1" w:themeFillShade="BF"/>
          </w:tcPr>
          <w:p w14:paraId="5BEC0DA2" w14:textId="77777777" w:rsidR="00874112" w:rsidRPr="00B201A0" w:rsidRDefault="00874112" w:rsidP="00874112">
            <w:pPr>
              <w:spacing w:before="60" w:after="60"/>
            </w:pPr>
          </w:p>
        </w:tc>
        <w:tc>
          <w:tcPr>
            <w:tcW w:w="3510" w:type="dxa"/>
            <w:shd w:val="clear" w:color="auto" w:fill="BFBFBF" w:themeFill="background1" w:themeFillShade="BF"/>
          </w:tcPr>
          <w:p w14:paraId="09D3F1F9" w14:textId="77777777" w:rsidR="00874112" w:rsidRPr="00B201A0" w:rsidRDefault="00874112" w:rsidP="00874112">
            <w:pPr>
              <w:spacing w:before="60" w:after="60"/>
            </w:pPr>
          </w:p>
        </w:tc>
      </w:tr>
      <w:tr w:rsidR="00874112" w:rsidRPr="00B201A0" w14:paraId="131527A2" w14:textId="77777777" w:rsidTr="000C6B8B">
        <w:trPr>
          <w:trHeight w:val="1200"/>
        </w:trPr>
        <w:tc>
          <w:tcPr>
            <w:tcW w:w="5490" w:type="dxa"/>
            <w:shd w:val="clear" w:color="auto" w:fill="FFFFFF" w:themeFill="background1"/>
          </w:tcPr>
          <w:p w14:paraId="660F2A6B" w14:textId="77777777" w:rsidR="00874112" w:rsidRPr="00B201A0" w:rsidRDefault="00874112" w:rsidP="003F367E">
            <w:pPr>
              <w:pStyle w:val="ListParagraph"/>
              <w:ind w:left="345"/>
            </w:pPr>
            <w:r>
              <w:t>Our state monitoring system has a defined approach to use monitoring results to develop and deliver technical assistance to improve compliance and outcomes across the state.</w:t>
            </w:r>
          </w:p>
        </w:tc>
        <w:tc>
          <w:tcPr>
            <w:tcW w:w="1170" w:type="dxa"/>
            <w:shd w:val="clear" w:color="auto" w:fill="FFFFFF" w:themeFill="background1"/>
          </w:tcPr>
          <w:p w14:paraId="6EDB45C0" w14:textId="77777777" w:rsidR="00874112" w:rsidRPr="00B201A0" w:rsidRDefault="00874112" w:rsidP="00874112">
            <w:pPr>
              <w:spacing w:before="60" w:after="60"/>
            </w:pPr>
          </w:p>
        </w:tc>
        <w:tc>
          <w:tcPr>
            <w:tcW w:w="3510" w:type="dxa"/>
            <w:shd w:val="clear" w:color="auto" w:fill="FFFFFF" w:themeFill="background1"/>
          </w:tcPr>
          <w:p w14:paraId="6D0FD2C1" w14:textId="77777777" w:rsidR="00874112" w:rsidRPr="00B201A0" w:rsidRDefault="00874112" w:rsidP="00874112">
            <w:pPr>
              <w:spacing w:before="60" w:after="60"/>
            </w:pPr>
          </w:p>
        </w:tc>
      </w:tr>
      <w:tr w:rsidR="00874112" w:rsidRPr="00B201A0" w14:paraId="3847A9B5" w14:textId="77777777" w:rsidTr="003F367E">
        <w:tc>
          <w:tcPr>
            <w:tcW w:w="5490" w:type="dxa"/>
            <w:shd w:val="clear" w:color="auto" w:fill="BFBFBF" w:themeFill="background1" w:themeFillShade="BF"/>
          </w:tcPr>
          <w:p w14:paraId="2D9E2C86" w14:textId="49D24FAA" w:rsidR="00874112" w:rsidRPr="003C66A7" w:rsidRDefault="00874112" w:rsidP="00874112">
            <w:pPr>
              <w:spacing w:before="60" w:after="60"/>
              <w:rPr>
                <w:b/>
              </w:rPr>
            </w:pPr>
            <w:r w:rsidRPr="003C66A7">
              <w:rPr>
                <w:b/>
              </w:rPr>
              <w:t xml:space="preserve">Continuous </w:t>
            </w:r>
            <w:r w:rsidR="003C66A7">
              <w:rPr>
                <w:b/>
              </w:rPr>
              <w:t>I</w:t>
            </w:r>
            <w:r w:rsidRPr="003C66A7">
              <w:rPr>
                <w:b/>
              </w:rPr>
              <w:t xml:space="preserve">mprovement </w:t>
            </w:r>
            <w:r w:rsidR="003C66A7">
              <w:rPr>
                <w:b/>
              </w:rPr>
              <w:t>S</w:t>
            </w:r>
            <w:r w:rsidRPr="003C66A7">
              <w:rPr>
                <w:b/>
              </w:rPr>
              <w:t>trategies</w:t>
            </w:r>
          </w:p>
        </w:tc>
        <w:tc>
          <w:tcPr>
            <w:tcW w:w="1170" w:type="dxa"/>
            <w:shd w:val="clear" w:color="auto" w:fill="BFBFBF" w:themeFill="background1" w:themeFillShade="BF"/>
          </w:tcPr>
          <w:p w14:paraId="281ECCC6" w14:textId="77777777" w:rsidR="00874112" w:rsidRPr="003C66A7" w:rsidRDefault="00874112" w:rsidP="00874112">
            <w:pPr>
              <w:spacing w:before="60" w:after="60"/>
              <w:rPr>
                <w:b/>
              </w:rPr>
            </w:pPr>
          </w:p>
        </w:tc>
        <w:tc>
          <w:tcPr>
            <w:tcW w:w="3510" w:type="dxa"/>
            <w:shd w:val="clear" w:color="auto" w:fill="BFBFBF" w:themeFill="background1" w:themeFillShade="BF"/>
          </w:tcPr>
          <w:p w14:paraId="40A29555" w14:textId="77777777" w:rsidR="00874112" w:rsidRPr="003C66A7" w:rsidRDefault="00874112" w:rsidP="00874112">
            <w:pPr>
              <w:spacing w:before="60" w:after="60"/>
              <w:rPr>
                <w:b/>
              </w:rPr>
            </w:pPr>
          </w:p>
        </w:tc>
      </w:tr>
      <w:tr w:rsidR="00874112" w:rsidRPr="00B201A0" w14:paraId="294F01EB" w14:textId="77777777" w:rsidTr="000C6B8B">
        <w:trPr>
          <w:trHeight w:val="2298"/>
        </w:trPr>
        <w:tc>
          <w:tcPr>
            <w:tcW w:w="5490" w:type="dxa"/>
            <w:shd w:val="clear" w:color="auto" w:fill="FFFFFF" w:themeFill="background1"/>
          </w:tcPr>
          <w:p w14:paraId="304657B3" w14:textId="5E6A4136" w:rsidR="00874112" w:rsidRPr="00B201A0" w:rsidRDefault="00874112" w:rsidP="003F367E">
            <w:pPr>
              <w:pStyle w:val="ListParagraph"/>
              <w:ind w:left="345"/>
            </w:pPr>
            <w:r>
              <w:t>Our state monitoring system strategically engages in proactive and ongoing efforts to drive continuous improvement across our workforce system (e.g. risk assessment to inform technical assistance, professional development, virtual platform to share strong practices, self-monitoring, holistic engagement across state staff, etc.)</w:t>
            </w:r>
          </w:p>
        </w:tc>
        <w:tc>
          <w:tcPr>
            <w:tcW w:w="1170" w:type="dxa"/>
            <w:shd w:val="clear" w:color="auto" w:fill="FFFFFF" w:themeFill="background1"/>
          </w:tcPr>
          <w:p w14:paraId="159F4ACB" w14:textId="77777777" w:rsidR="00874112" w:rsidRPr="00B201A0" w:rsidRDefault="00874112" w:rsidP="00874112">
            <w:pPr>
              <w:spacing w:before="60" w:after="60"/>
            </w:pPr>
          </w:p>
        </w:tc>
        <w:tc>
          <w:tcPr>
            <w:tcW w:w="3510" w:type="dxa"/>
            <w:shd w:val="clear" w:color="auto" w:fill="FFFFFF" w:themeFill="background1"/>
          </w:tcPr>
          <w:p w14:paraId="1B04FC47" w14:textId="77777777" w:rsidR="00874112" w:rsidRPr="00B201A0" w:rsidRDefault="00874112" w:rsidP="00874112">
            <w:pPr>
              <w:spacing w:before="60" w:after="60"/>
            </w:pPr>
          </w:p>
        </w:tc>
      </w:tr>
    </w:tbl>
    <w:p w14:paraId="39A62786" w14:textId="77777777" w:rsidR="00874112" w:rsidRPr="00874112" w:rsidRDefault="00874112" w:rsidP="00874112"/>
    <w:sectPr w:rsidR="00874112" w:rsidRPr="00874112" w:rsidSect="00874112">
      <w:headerReference w:type="default" r:id="rId17"/>
      <w:footerReference w:type="default" r:id="rId18"/>
      <w:pgSz w:w="12240" w:h="15840"/>
      <w:pgMar w:top="518" w:right="1296" w:bottom="1440" w:left="1296" w:header="50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DB3AC" w14:textId="77777777" w:rsidR="00745BEA" w:rsidRDefault="00745BEA" w:rsidP="003516B4">
      <w:pPr>
        <w:spacing w:after="0" w:line="240" w:lineRule="auto"/>
      </w:pPr>
      <w:r>
        <w:separator/>
      </w:r>
    </w:p>
  </w:endnote>
  <w:endnote w:type="continuationSeparator" w:id="0">
    <w:p w14:paraId="3F296A4B" w14:textId="77777777" w:rsidR="00745BEA" w:rsidRDefault="00745BEA" w:rsidP="003516B4">
      <w:pPr>
        <w:spacing w:after="0" w:line="240" w:lineRule="auto"/>
      </w:pPr>
      <w:r>
        <w:continuationSeparator/>
      </w:r>
    </w:p>
  </w:endnote>
  <w:endnote w:type="continuationNotice" w:id="1">
    <w:p w14:paraId="48C3FE5C" w14:textId="77777777" w:rsidR="00745BEA" w:rsidRDefault="00745B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48B9B" w14:textId="55DA213F" w:rsidR="00AE2724" w:rsidRPr="00E36D23" w:rsidRDefault="00AE2724" w:rsidP="00E36D23">
    <w:pPr>
      <w:pStyle w:val="Footer"/>
    </w:pPr>
    <w:r w:rsidRPr="00E36D23">
      <w:tab/>
    </w:r>
    <w:r w:rsidRPr="00E36D23">
      <w:fldChar w:fldCharType="begin"/>
    </w:r>
    <w:r w:rsidRPr="00E36D23">
      <w:instrText xml:space="preserve"> PAGE   \* MERGEFORMAT </w:instrText>
    </w:r>
    <w:r w:rsidRPr="00E36D23">
      <w:fldChar w:fldCharType="separate"/>
    </w:r>
    <w:r>
      <w:rPr>
        <w:noProof/>
      </w:rPr>
      <w:t>32</w:t>
    </w:r>
    <w:r w:rsidRPr="00E36D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45019" w14:textId="77777777" w:rsidR="00745BEA" w:rsidRDefault="00745BEA" w:rsidP="003516B4">
      <w:pPr>
        <w:spacing w:after="0" w:line="240" w:lineRule="auto"/>
      </w:pPr>
      <w:r>
        <w:separator/>
      </w:r>
    </w:p>
  </w:footnote>
  <w:footnote w:type="continuationSeparator" w:id="0">
    <w:p w14:paraId="6D751966" w14:textId="77777777" w:rsidR="00745BEA" w:rsidRDefault="00745BEA" w:rsidP="003516B4">
      <w:pPr>
        <w:spacing w:after="0" w:line="240" w:lineRule="auto"/>
      </w:pPr>
      <w:r>
        <w:continuationSeparator/>
      </w:r>
    </w:p>
  </w:footnote>
  <w:footnote w:type="continuationNotice" w:id="1">
    <w:p w14:paraId="32FA9754" w14:textId="77777777" w:rsidR="00745BEA" w:rsidRDefault="00745B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B1707" w14:textId="77777777" w:rsidR="003F367E" w:rsidRPr="00E36D23" w:rsidRDefault="003F367E" w:rsidP="00C658DE">
    <w:pPr>
      <w:pStyle w:val="Header"/>
      <w:spacing w:after="240"/>
    </w:pPr>
    <w:r w:rsidRPr="00E36D23">
      <w:drawing>
        <wp:anchor distT="45720" distB="0" distL="114300" distR="114300" simplePos="0" relativeHeight="251663360" behindDoc="0" locked="1" layoutInCell="1" allowOverlap="1" wp14:anchorId="03FF39E5" wp14:editId="715CAB34">
          <wp:simplePos x="0" y="0"/>
          <wp:positionH relativeFrom="page">
            <wp:posOffset>0</wp:posOffset>
          </wp:positionH>
          <wp:positionV relativeFrom="page">
            <wp:posOffset>585470</wp:posOffset>
          </wp:positionV>
          <wp:extent cx="7772400" cy="877824"/>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77824"/>
                  </a:xfrm>
                  <a:prstGeom prst="rect">
                    <a:avLst/>
                  </a:prstGeom>
                  <a:noFill/>
                  <a:ln>
                    <a:noFill/>
                  </a:ln>
                </pic:spPr>
              </pic:pic>
            </a:graphicData>
          </a:graphic>
          <wp14:sizeRelH relativeFrom="page">
            <wp14:pctWidth>0</wp14:pctWidth>
          </wp14:sizeRelH>
          <wp14:sizeRelV relativeFrom="page">
            <wp14:pctHeight>0</wp14:pctHeight>
          </wp14:sizeRelV>
        </wp:anchor>
      </w:drawing>
    </w:r>
    <w:r>
      <w:t>State Monitoring System Self-Assessment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35.3pt;height:24.45pt;visibility:visible;mso-wrap-style:square" o:bullet="t">
        <v:imagedata r:id="rId1" o:title=""/>
      </v:shape>
    </w:pict>
  </w:numPicBullet>
  <w:abstractNum w:abstractNumId="0" w15:restartNumberingAfterBreak="0">
    <w:nsid w:val="11995280"/>
    <w:multiLevelType w:val="hybridMultilevel"/>
    <w:tmpl w:val="8EB8AB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F3852"/>
    <w:multiLevelType w:val="hybridMultilevel"/>
    <w:tmpl w:val="A0BCD8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9666B"/>
    <w:multiLevelType w:val="hybridMultilevel"/>
    <w:tmpl w:val="A65A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3239D"/>
    <w:multiLevelType w:val="hybridMultilevel"/>
    <w:tmpl w:val="8EB8AB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C37EA"/>
    <w:multiLevelType w:val="multilevel"/>
    <w:tmpl w:val="02CED1B0"/>
    <w:numStyleLink w:val="BulletList"/>
  </w:abstractNum>
  <w:abstractNum w:abstractNumId="5" w15:restartNumberingAfterBreak="0">
    <w:nsid w:val="2E2632E1"/>
    <w:multiLevelType w:val="multilevel"/>
    <w:tmpl w:val="2250A4F2"/>
    <w:lvl w:ilvl="0">
      <w:start w:val="1"/>
      <w:numFmt w:val="decimal"/>
      <w:lvlText w:val="%1)"/>
      <w:lvlJc w:val="left"/>
      <w:pPr>
        <w:ind w:left="720" w:hanging="360"/>
      </w:pPr>
      <w:rPr>
        <w:rFonts w:hint="default"/>
        <w:b/>
        <w:color w:val="1E5F9F" w:themeColor="accent1"/>
        <w:sz w:val="28"/>
      </w:rPr>
    </w:lvl>
    <w:lvl w:ilvl="1">
      <w:start w:val="1"/>
      <w:numFmt w:val="bullet"/>
      <w:lvlText w:val=""/>
      <w:lvlJc w:val="left"/>
      <w:pPr>
        <w:ind w:left="1440" w:hanging="360"/>
      </w:pPr>
      <w:rPr>
        <w:rFonts w:ascii="Wingdings 2" w:hAnsi="Wingdings 2" w:hint="default"/>
        <w:color w:val="0F7BB1" w:themeColor="accent5"/>
      </w:rPr>
    </w:lvl>
    <w:lvl w:ilvl="2">
      <w:start w:val="1"/>
      <w:numFmt w:val="bullet"/>
      <w:lvlText w:val="}"/>
      <w:lvlJc w:val="left"/>
      <w:pPr>
        <w:ind w:left="2160" w:hanging="360"/>
      </w:pPr>
      <w:rPr>
        <w:rFonts w:ascii="Wingdings 3" w:hAnsi="Wingdings 3" w:hint="default"/>
        <w:color w:val="596984" w:themeColor="accent4"/>
      </w:rPr>
    </w:lvl>
    <w:lvl w:ilvl="3">
      <w:start w:val="1"/>
      <w:numFmt w:val="bullet"/>
      <w:lvlText w:val="­"/>
      <w:lvlJc w:val="left"/>
      <w:pPr>
        <w:ind w:left="2880" w:hanging="360"/>
      </w:pPr>
      <w:rPr>
        <w:rFonts w:ascii="Wingdings 2" w:hAnsi="Wingdings 2" w:hint="default"/>
        <w:color w:val="224F76" w:themeColor="accent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5181E46"/>
    <w:multiLevelType w:val="multilevel"/>
    <w:tmpl w:val="503A2090"/>
    <w:lvl w:ilvl="0">
      <w:start w:val="1"/>
      <w:numFmt w:val="bullet"/>
      <w:lvlText w:val=""/>
      <w:lvlJc w:val="left"/>
      <w:pPr>
        <w:ind w:left="720" w:hanging="360"/>
      </w:pPr>
      <w:rPr>
        <w:rFonts w:ascii="Wingdings" w:hAnsi="Wingdings" w:hint="default"/>
        <w:color w:val="224F76" w:themeColor="accent2"/>
      </w:rPr>
    </w:lvl>
    <w:lvl w:ilvl="1">
      <w:start w:val="1"/>
      <w:numFmt w:val="bullet"/>
      <w:lvlText w:val=""/>
      <w:lvlJc w:val="left"/>
      <w:pPr>
        <w:ind w:left="1440" w:hanging="360"/>
      </w:pPr>
      <w:rPr>
        <w:rFonts w:ascii="Wingdings 2" w:hAnsi="Wingdings 2" w:hint="default"/>
        <w:color w:val="0F7BB1" w:themeColor="accent5"/>
      </w:rPr>
    </w:lvl>
    <w:lvl w:ilvl="2">
      <w:start w:val="1"/>
      <w:numFmt w:val="bullet"/>
      <w:lvlText w:val="}"/>
      <w:lvlJc w:val="left"/>
      <w:pPr>
        <w:ind w:left="2160" w:hanging="360"/>
      </w:pPr>
      <w:rPr>
        <w:rFonts w:ascii="Wingdings 3" w:hAnsi="Wingdings 3" w:hint="default"/>
        <w:b w:val="0"/>
        <w:i w:val="0"/>
        <w:color w:val="596984" w:themeColor="accent4"/>
      </w:rPr>
    </w:lvl>
    <w:lvl w:ilvl="3">
      <w:start w:val="1"/>
      <w:numFmt w:val="bullet"/>
      <w:lvlText w:val=""/>
      <w:lvlJc w:val="left"/>
      <w:pPr>
        <w:ind w:left="2880" w:hanging="360"/>
      </w:pPr>
      <w:rPr>
        <w:rFonts w:ascii="Wingdings" w:hAnsi="Wingdings" w:hint="default"/>
        <w:color w:val="404040" w:themeColor="text1" w:themeTint="BF"/>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C110F49"/>
    <w:multiLevelType w:val="hybridMultilevel"/>
    <w:tmpl w:val="4768E30A"/>
    <w:lvl w:ilvl="0" w:tplc="4B4AA4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7E563054">
      <w:start w:val="1"/>
      <w:numFmt w:val="bullet"/>
      <w:lvlText w:val=""/>
      <w:lvlJc w:val="left"/>
      <w:pPr>
        <w:ind w:left="2880" w:hanging="360"/>
      </w:pPr>
      <w:rPr>
        <w:rFonts w:ascii="Wingdings" w:hAnsi="Wingdings" w:hint="default"/>
        <w:color w:val="404040" w:themeColor="text1" w:themeTint="BF"/>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E5174"/>
    <w:multiLevelType w:val="multilevel"/>
    <w:tmpl w:val="2250A4F2"/>
    <w:lvl w:ilvl="0">
      <w:start w:val="1"/>
      <w:numFmt w:val="decimal"/>
      <w:lvlText w:val="%1)"/>
      <w:lvlJc w:val="left"/>
      <w:pPr>
        <w:ind w:left="720" w:hanging="360"/>
      </w:pPr>
      <w:rPr>
        <w:rFonts w:hint="default"/>
        <w:b/>
        <w:color w:val="1E5F9F" w:themeColor="accent1"/>
        <w:sz w:val="28"/>
      </w:rPr>
    </w:lvl>
    <w:lvl w:ilvl="1">
      <w:start w:val="1"/>
      <w:numFmt w:val="bullet"/>
      <w:lvlText w:val=""/>
      <w:lvlJc w:val="left"/>
      <w:pPr>
        <w:ind w:left="1440" w:hanging="360"/>
      </w:pPr>
      <w:rPr>
        <w:rFonts w:ascii="Wingdings 2" w:hAnsi="Wingdings 2" w:hint="default"/>
        <w:color w:val="0F7BB1" w:themeColor="accent5"/>
      </w:rPr>
    </w:lvl>
    <w:lvl w:ilvl="2">
      <w:start w:val="1"/>
      <w:numFmt w:val="bullet"/>
      <w:lvlText w:val="}"/>
      <w:lvlJc w:val="left"/>
      <w:pPr>
        <w:ind w:left="2160" w:hanging="360"/>
      </w:pPr>
      <w:rPr>
        <w:rFonts w:ascii="Wingdings 3" w:hAnsi="Wingdings 3" w:hint="default"/>
        <w:color w:val="596984" w:themeColor="accent4"/>
      </w:rPr>
    </w:lvl>
    <w:lvl w:ilvl="3">
      <w:start w:val="1"/>
      <w:numFmt w:val="bullet"/>
      <w:lvlText w:val="­"/>
      <w:lvlJc w:val="left"/>
      <w:pPr>
        <w:ind w:left="2880" w:hanging="360"/>
      </w:pPr>
      <w:rPr>
        <w:rFonts w:ascii="Wingdings 2" w:hAnsi="Wingdings 2" w:hint="default"/>
        <w:color w:val="224F76" w:themeColor="accent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64C0E95"/>
    <w:multiLevelType w:val="hybridMultilevel"/>
    <w:tmpl w:val="C412733E"/>
    <w:lvl w:ilvl="0" w:tplc="A028CE76">
      <w:start w:val="1"/>
      <w:numFmt w:val="bullet"/>
      <w:pStyle w:val="Tipbullets"/>
      <w:lvlText w:val=""/>
      <w:lvlJc w:val="left"/>
      <w:pPr>
        <w:ind w:left="576" w:hanging="360"/>
      </w:pPr>
      <w:rPr>
        <w:rFonts w:ascii="Wingdings" w:hAnsi="Wingdings" w:hint="default"/>
        <w:b/>
        <w:caps w:val="0"/>
        <w:smallCaps w:val="0"/>
        <w:color w:val="262626" w:themeColor="text1" w:themeTint="D9"/>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9525" w14:cap="rnd" w14:cmpd="sng" w14:algn="ctr">
          <w14:solidFill>
            <w14:schemeClr w14:val="accent2">
              <w14:lumMod w14:val="60000"/>
              <w14:lumOff w14:val="40000"/>
            </w14:schemeClr>
          </w14:solidFill>
          <w14:prstDash w14:val="solid"/>
          <w14:bevel/>
        </w14:textOutline>
        <w14:props3d w14:extrusionH="0" w14:contourW="0" w14:prstMaterial="none"/>
      </w:rPr>
    </w:lvl>
    <w:lvl w:ilvl="1" w:tplc="04090003">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0" w15:restartNumberingAfterBreak="0">
    <w:nsid w:val="47B8224D"/>
    <w:multiLevelType w:val="hybridMultilevel"/>
    <w:tmpl w:val="C2BC319A"/>
    <w:lvl w:ilvl="0" w:tplc="C0369180">
      <w:start w:val="1"/>
      <w:numFmt w:val="bullet"/>
      <w:lvlText w:val=""/>
      <w:lvlJc w:val="left"/>
      <w:pPr>
        <w:ind w:left="720" w:hanging="360"/>
      </w:pPr>
      <w:rPr>
        <w:rFonts w:ascii="Symbol" w:hAnsi="Symbol" w:hint="default"/>
        <w:sz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A3D48"/>
    <w:multiLevelType w:val="multilevel"/>
    <w:tmpl w:val="64E649C6"/>
    <w:lvl w:ilvl="0">
      <w:start w:val="1"/>
      <w:numFmt w:val="bullet"/>
      <w:lvlText w:val=""/>
      <w:lvlJc w:val="left"/>
      <w:pPr>
        <w:ind w:left="720" w:hanging="360"/>
      </w:pPr>
      <w:rPr>
        <w:rFonts w:ascii="Wingdings" w:hAnsi="Wingdings" w:hint="default"/>
        <w:color w:val="224F76" w:themeColor="accent2"/>
      </w:rPr>
    </w:lvl>
    <w:lvl w:ilvl="1">
      <w:start w:val="1"/>
      <w:numFmt w:val="bullet"/>
      <w:lvlText w:val=""/>
      <w:lvlJc w:val="left"/>
      <w:pPr>
        <w:ind w:left="1440" w:hanging="360"/>
      </w:pPr>
      <w:rPr>
        <w:rFonts w:ascii="Wingdings 2" w:hAnsi="Wingdings 2" w:hint="default"/>
        <w:color w:val="0F7BB1" w:themeColor="accent5"/>
      </w:rPr>
    </w:lvl>
    <w:lvl w:ilvl="2">
      <w:start w:val="1"/>
      <w:numFmt w:val="bullet"/>
      <w:lvlText w:val=""/>
      <w:lvlJc w:val="left"/>
      <w:pPr>
        <w:ind w:left="2160" w:hanging="360"/>
      </w:pPr>
      <w:rPr>
        <w:rFonts w:ascii="Wingdings" w:hAnsi="Wingdings" w:hint="default"/>
        <w:color w:val="242852" w:themeColor="text2"/>
      </w:rPr>
    </w:lvl>
    <w:lvl w:ilvl="3">
      <w:start w:val="1"/>
      <w:numFmt w:val="bullet"/>
      <w:lvlText w:val="­"/>
      <w:lvlJc w:val="left"/>
      <w:pPr>
        <w:ind w:left="2880" w:hanging="360"/>
      </w:pPr>
      <w:rPr>
        <w:rFonts w:ascii="Wingdings 2" w:hAnsi="Wingdings 2" w:hint="default"/>
        <w:b w:val="0"/>
        <w:i w:val="0"/>
        <w:color w:val="224F76" w:themeColor="accent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A7811A7"/>
    <w:multiLevelType w:val="multilevel"/>
    <w:tmpl w:val="02CED1B0"/>
    <w:styleLink w:val="BulletList"/>
    <w:lvl w:ilvl="0">
      <w:start w:val="1"/>
      <w:numFmt w:val="bullet"/>
      <w:pStyle w:val="ListParagraph"/>
      <w:lvlText w:val="◊"/>
      <w:lvlJc w:val="left"/>
      <w:pPr>
        <w:ind w:left="720" w:hanging="360"/>
      </w:pPr>
      <w:rPr>
        <w:rFonts w:ascii="Tahoma" w:hAnsi="Tahoma" w:hint="default"/>
        <w:b/>
        <w:color w:val="1E5F9F" w:themeColor="accent1"/>
        <w:sz w:val="28"/>
      </w:rPr>
    </w:lvl>
    <w:lvl w:ilvl="1">
      <w:start w:val="1"/>
      <w:numFmt w:val="bullet"/>
      <w:pStyle w:val="bullet2"/>
      <w:lvlText w:val=""/>
      <w:lvlJc w:val="left"/>
      <w:pPr>
        <w:ind w:left="1440" w:hanging="360"/>
      </w:pPr>
      <w:rPr>
        <w:rFonts w:ascii="Wingdings 2" w:hAnsi="Wingdings 2" w:hint="default"/>
        <w:color w:val="0F7BB1" w:themeColor="accent5"/>
      </w:rPr>
    </w:lvl>
    <w:lvl w:ilvl="2">
      <w:start w:val="1"/>
      <w:numFmt w:val="bullet"/>
      <w:lvlText w:val="}"/>
      <w:lvlJc w:val="left"/>
      <w:pPr>
        <w:ind w:left="2160" w:hanging="360"/>
      </w:pPr>
      <w:rPr>
        <w:rFonts w:ascii="Wingdings 3" w:hAnsi="Wingdings 3" w:hint="default"/>
        <w:color w:val="596984" w:themeColor="accent4"/>
      </w:rPr>
    </w:lvl>
    <w:lvl w:ilvl="3">
      <w:start w:val="1"/>
      <w:numFmt w:val="bullet"/>
      <w:lvlText w:val="­"/>
      <w:lvlJc w:val="left"/>
      <w:pPr>
        <w:ind w:left="2880" w:hanging="360"/>
      </w:pPr>
      <w:rPr>
        <w:rFonts w:ascii="Wingdings 2" w:hAnsi="Wingdings 2" w:hint="default"/>
        <w:color w:val="224F76" w:themeColor="accent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CC43185"/>
    <w:multiLevelType w:val="multilevel"/>
    <w:tmpl w:val="CECCFFF6"/>
    <w:lvl w:ilvl="0">
      <w:start w:val="1"/>
      <w:numFmt w:val="bullet"/>
      <w:lvlText w:val=""/>
      <w:lvlJc w:val="left"/>
      <w:pPr>
        <w:ind w:left="720" w:hanging="360"/>
      </w:pPr>
      <w:rPr>
        <w:rFonts w:ascii="Wingdings" w:hAnsi="Wingdings" w:hint="default"/>
        <w:color w:val="224F76" w:themeColor="accent2"/>
      </w:rPr>
    </w:lvl>
    <w:lvl w:ilvl="1">
      <w:start w:val="1"/>
      <w:numFmt w:val="bullet"/>
      <w:lvlText w:val="®"/>
      <w:lvlJc w:val="left"/>
      <w:pPr>
        <w:ind w:left="1440" w:hanging="360"/>
      </w:pPr>
      <w:rPr>
        <w:rFonts w:ascii="Wingdings 2" w:hAnsi="Wingdings 2" w:hint="default"/>
        <w:b w:val="0"/>
        <w:i w:val="0"/>
        <w:color w:val="1E5F9F" w:themeColor="accent1"/>
      </w:rPr>
    </w:lvl>
    <w:lvl w:ilvl="2">
      <w:start w:val="1"/>
      <w:numFmt w:val="bullet"/>
      <w:lvlText w:val=""/>
      <w:lvlJc w:val="left"/>
      <w:pPr>
        <w:ind w:left="2160" w:hanging="360"/>
      </w:pPr>
      <w:rPr>
        <w:rFonts w:ascii="Wingdings" w:hAnsi="Wingdings" w:hint="default"/>
        <w:color w:val="242852" w:themeColor="text2"/>
      </w:rPr>
    </w:lvl>
    <w:lvl w:ilvl="3">
      <w:start w:val="1"/>
      <w:numFmt w:val="bullet"/>
      <w:lvlText w:val=""/>
      <w:lvlJc w:val="left"/>
      <w:pPr>
        <w:ind w:left="2880" w:hanging="360"/>
      </w:pPr>
      <w:rPr>
        <w:rFonts w:ascii="Wingdings" w:hAnsi="Wingdings" w:hint="default"/>
        <w:color w:val="404040" w:themeColor="text1" w:themeTint="BF"/>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0285A7A"/>
    <w:multiLevelType w:val="multilevel"/>
    <w:tmpl w:val="7F16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D8631C"/>
    <w:multiLevelType w:val="hybridMultilevel"/>
    <w:tmpl w:val="E2A0B378"/>
    <w:lvl w:ilvl="0" w:tplc="4B4AA4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396F12"/>
    <w:multiLevelType w:val="hybridMultilevel"/>
    <w:tmpl w:val="5B7861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F4F77"/>
    <w:multiLevelType w:val="hybridMultilevel"/>
    <w:tmpl w:val="D1FC30BE"/>
    <w:lvl w:ilvl="0" w:tplc="0409000F">
      <w:start w:val="1"/>
      <w:numFmt w:val="decimal"/>
      <w:lvlText w:val="%1."/>
      <w:lvlJc w:val="left"/>
      <w:pPr>
        <w:ind w:left="720" w:hanging="360"/>
      </w:pPr>
    </w:lvl>
    <w:lvl w:ilvl="1" w:tplc="E5C2D75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78003F"/>
    <w:multiLevelType w:val="multilevel"/>
    <w:tmpl w:val="02CED1B0"/>
    <w:numStyleLink w:val="BulletList"/>
  </w:abstractNum>
  <w:abstractNum w:abstractNumId="19" w15:restartNumberingAfterBreak="0">
    <w:nsid w:val="5E5F244E"/>
    <w:multiLevelType w:val="hybridMultilevel"/>
    <w:tmpl w:val="02CED1B0"/>
    <w:lvl w:ilvl="0" w:tplc="4B4AA420">
      <w:start w:val="1"/>
      <w:numFmt w:val="bullet"/>
      <w:lvlText w:val=""/>
      <w:lvlJc w:val="left"/>
      <w:pPr>
        <w:ind w:left="720" w:hanging="360"/>
      </w:pPr>
      <w:rPr>
        <w:rFonts w:ascii="Symbol" w:hAnsi="Symbol" w:hint="default"/>
      </w:rPr>
    </w:lvl>
    <w:lvl w:ilvl="1" w:tplc="67405DF4">
      <w:start w:val="1"/>
      <w:numFmt w:val="bullet"/>
      <w:lvlText w:val=""/>
      <w:lvlJc w:val="left"/>
      <w:pPr>
        <w:ind w:left="1440" w:hanging="360"/>
      </w:pPr>
      <w:rPr>
        <w:rFonts w:ascii="Wingdings 2" w:hAnsi="Wingdings 2" w:hint="default"/>
        <w:color w:val="0F7BB1" w:themeColor="accent5"/>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E75C1B"/>
    <w:multiLevelType w:val="hybridMultilevel"/>
    <w:tmpl w:val="7B248698"/>
    <w:lvl w:ilvl="0" w:tplc="98C2BC50">
      <w:start w:val="1"/>
      <w:numFmt w:val="bullet"/>
      <w:lvlText w:val=""/>
      <w:lvlJc w:val="left"/>
      <w:pPr>
        <w:ind w:left="720" w:hanging="360"/>
      </w:pPr>
      <w:rPr>
        <w:rFonts w:ascii="Wingdings" w:hAnsi="Wingdings" w:hint="default"/>
        <w:color w:val="224F76" w:themeColor="accen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281047"/>
    <w:multiLevelType w:val="multilevel"/>
    <w:tmpl w:val="02CED1B0"/>
    <w:numStyleLink w:val="BulletList"/>
  </w:abstractNum>
  <w:abstractNum w:abstractNumId="22" w15:restartNumberingAfterBreak="0">
    <w:nsid w:val="6A6B4D65"/>
    <w:multiLevelType w:val="multilevel"/>
    <w:tmpl w:val="DF8E0FB0"/>
    <w:lvl w:ilvl="0">
      <w:start w:val="1"/>
      <w:numFmt w:val="bullet"/>
      <w:lvlText w:val="◊"/>
      <w:lvlJc w:val="left"/>
      <w:pPr>
        <w:ind w:left="720" w:hanging="360"/>
      </w:pPr>
      <w:rPr>
        <w:rFonts w:ascii="Tahoma" w:hAnsi="Tahoma" w:hint="default"/>
        <w:color w:val="1E5F9F" w:themeColor="accent1"/>
      </w:rPr>
    </w:lvl>
    <w:lvl w:ilvl="1">
      <w:start w:val="1"/>
      <w:numFmt w:val="bullet"/>
      <w:lvlText w:val=""/>
      <w:lvlJc w:val="left"/>
      <w:pPr>
        <w:ind w:left="1440" w:hanging="360"/>
      </w:pPr>
      <w:rPr>
        <w:rFonts w:ascii="Wingdings 2" w:hAnsi="Wingdings 2" w:hint="default"/>
        <w:color w:val="0F7BB1" w:themeColor="accent5"/>
      </w:rPr>
    </w:lvl>
    <w:lvl w:ilvl="2">
      <w:start w:val="1"/>
      <w:numFmt w:val="bullet"/>
      <w:lvlText w:val=""/>
      <w:lvlJc w:val="left"/>
      <w:pPr>
        <w:ind w:left="2160" w:hanging="360"/>
      </w:pPr>
      <w:rPr>
        <w:rFonts w:ascii="Wingdings" w:hAnsi="Wingdings" w:hint="default"/>
        <w:color w:val="242852" w:themeColor="text2"/>
      </w:rPr>
    </w:lvl>
    <w:lvl w:ilvl="3">
      <w:start w:val="1"/>
      <w:numFmt w:val="bullet"/>
      <w:lvlText w:val=""/>
      <w:lvlJc w:val="left"/>
      <w:pPr>
        <w:ind w:left="2880" w:hanging="360"/>
      </w:pPr>
      <w:rPr>
        <w:rFonts w:ascii="Wingdings" w:hAnsi="Wingdings" w:hint="default"/>
        <w:color w:val="404040" w:themeColor="text1" w:themeTint="BF"/>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C095E66"/>
    <w:multiLevelType w:val="multilevel"/>
    <w:tmpl w:val="4F7EF624"/>
    <w:lvl w:ilvl="0">
      <w:start w:val="1"/>
      <w:numFmt w:val="bullet"/>
      <w:lvlText w:val="◊"/>
      <w:lvlJc w:val="left"/>
      <w:pPr>
        <w:ind w:left="720" w:hanging="360"/>
      </w:pPr>
      <w:rPr>
        <w:rFonts w:ascii="Tahoma" w:hAnsi="Tahoma" w:hint="default"/>
        <w:b/>
        <w:i w:val="0"/>
        <w:color w:val="1E5F9F" w:themeColor="accent1"/>
        <w:sz w:val="28"/>
      </w:rPr>
    </w:lvl>
    <w:lvl w:ilvl="1">
      <w:start w:val="1"/>
      <w:numFmt w:val="bullet"/>
      <w:lvlText w:val=""/>
      <w:lvlJc w:val="left"/>
      <w:pPr>
        <w:ind w:left="1440" w:hanging="360"/>
      </w:pPr>
      <w:rPr>
        <w:rFonts w:ascii="Wingdings 2" w:hAnsi="Wingdings 2" w:hint="default"/>
        <w:color w:val="0F7BB1" w:themeColor="accent5"/>
      </w:rPr>
    </w:lvl>
    <w:lvl w:ilvl="2">
      <w:start w:val="1"/>
      <w:numFmt w:val="bullet"/>
      <w:lvlText w:val=""/>
      <w:lvlJc w:val="left"/>
      <w:pPr>
        <w:ind w:left="2160" w:hanging="360"/>
      </w:pPr>
      <w:rPr>
        <w:rFonts w:ascii="Wingdings" w:hAnsi="Wingdings" w:hint="default"/>
        <w:color w:val="242852" w:themeColor="text2"/>
      </w:rPr>
    </w:lvl>
    <w:lvl w:ilvl="3">
      <w:start w:val="1"/>
      <w:numFmt w:val="bullet"/>
      <w:lvlText w:val=""/>
      <w:lvlJc w:val="left"/>
      <w:pPr>
        <w:ind w:left="2880" w:hanging="360"/>
      </w:pPr>
      <w:rPr>
        <w:rFonts w:ascii="Wingdings" w:hAnsi="Wingdings" w:hint="default"/>
        <w:color w:val="404040" w:themeColor="text1" w:themeTint="BF"/>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C263E2D"/>
    <w:multiLevelType w:val="hybridMultilevel"/>
    <w:tmpl w:val="8EB8AB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397F8F"/>
    <w:multiLevelType w:val="multilevel"/>
    <w:tmpl w:val="2250A4F2"/>
    <w:lvl w:ilvl="0">
      <w:start w:val="1"/>
      <w:numFmt w:val="decimal"/>
      <w:lvlText w:val="%1)"/>
      <w:lvlJc w:val="left"/>
      <w:pPr>
        <w:ind w:left="720" w:hanging="360"/>
      </w:pPr>
      <w:rPr>
        <w:rFonts w:hint="default"/>
        <w:b/>
        <w:color w:val="1E5F9F" w:themeColor="accent1"/>
        <w:sz w:val="28"/>
      </w:rPr>
    </w:lvl>
    <w:lvl w:ilvl="1">
      <w:start w:val="1"/>
      <w:numFmt w:val="bullet"/>
      <w:lvlText w:val=""/>
      <w:lvlJc w:val="left"/>
      <w:pPr>
        <w:ind w:left="1440" w:hanging="360"/>
      </w:pPr>
      <w:rPr>
        <w:rFonts w:ascii="Wingdings 2" w:hAnsi="Wingdings 2" w:hint="default"/>
        <w:color w:val="0F7BB1" w:themeColor="accent5"/>
      </w:rPr>
    </w:lvl>
    <w:lvl w:ilvl="2">
      <w:start w:val="1"/>
      <w:numFmt w:val="bullet"/>
      <w:lvlText w:val="}"/>
      <w:lvlJc w:val="left"/>
      <w:pPr>
        <w:ind w:left="2160" w:hanging="360"/>
      </w:pPr>
      <w:rPr>
        <w:rFonts w:ascii="Wingdings 3" w:hAnsi="Wingdings 3" w:hint="default"/>
        <w:color w:val="596984" w:themeColor="accent4"/>
      </w:rPr>
    </w:lvl>
    <w:lvl w:ilvl="3">
      <w:start w:val="1"/>
      <w:numFmt w:val="bullet"/>
      <w:lvlText w:val="­"/>
      <w:lvlJc w:val="left"/>
      <w:pPr>
        <w:ind w:left="2880" w:hanging="360"/>
      </w:pPr>
      <w:rPr>
        <w:rFonts w:ascii="Wingdings 2" w:hAnsi="Wingdings 2" w:hint="default"/>
        <w:color w:val="224F76" w:themeColor="accent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6B00F39"/>
    <w:multiLevelType w:val="multilevel"/>
    <w:tmpl w:val="02CED1B0"/>
    <w:numStyleLink w:val="BulletList"/>
  </w:abstractNum>
  <w:abstractNum w:abstractNumId="27" w15:restartNumberingAfterBreak="0">
    <w:nsid w:val="7A01466E"/>
    <w:multiLevelType w:val="hybridMultilevel"/>
    <w:tmpl w:val="8EB8AB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974307"/>
    <w:multiLevelType w:val="hybridMultilevel"/>
    <w:tmpl w:val="14F8C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F248E9"/>
    <w:multiLevelType w:val="hybridMultilevel"/>
    <w:tmpl w:val="94FE7242"/>
    <w:lvl w:ilvl="0" w:tplc="4B4AA4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5A000C6">
      <w:start w:val="1"/>
      <w:numFmt w:val="bullet"/>
      <w:lvlText w:val=""/>
      <w:lvlJc w:val="left"/>
      <w:pPr>
        <w:ind w:left="2160" w:hanging="360"/>
      </w:pPr>
      <w:rPr>
        <w:rFonts w:ascii="Wingdings" w:hAnsi="Wingdings" w:hint="default"/>
        <w:color w:val="242852" w:themeColor="text2"/>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20"/>
  </w:num>
  <w:num w:numId="4">
    <w:abstractNumId w:val="19"/>
  </w:num>
  <w:num w:numId="5">
    <w:abstractNumId w:val="29"/>
  </w:num>
  <w:num w:numId="6">
    <w:abstractNumId w:val="7"/>
  </w:num>
  <w:num w:numId="7">
    <w:abstractNumId w:val="12"/>
  </w:num>
  <w:num w:numId="8">
    <w:abstractNumId w:val="21"/>
  </w:num>
  <w:num w:numId="9">
    <w:abstractNumId w:val="4"/>
  </w:num>
  <w:num w:numId="10">
    <w:abstractNumId w:val="9"/>
  </w:num>
  <w:num w:numId="11">
    <w:abstractNumId w:val="26"/>
  </w:num>
  <w:num w:numId="12">
    <w:abstractNumId w:val="22"/>
  </w:num>
  <w:num w:numId="13">
    <w:abstractNumId w:val="23"/>
  </w:num>
  <w:num w:numId="14">
    <w:abstractNumId w:val="6"/>
  </w:num>
  <w:num w:numId="15">
    <w:abstractNumId w:val="13"/>
  </w:num>
  <w:num w:numId="16">
    <w:abstractNumId w:val="11"/>
  </w:num>
  <w:num w:numId="17">
    <w:abstractNumId w:val="18"/>
  </w:num>
  <w:num w:numId="18">
    <w:abstractNumId w:val="28"/>
  </w:num>
  <w:num w:numId="19">
    <w:abstractNumId w:val="2"/>
  </w:num>
  <w:num w:numId="20">
    <w:abstractNumId w:val="0"/>
  </w:num>
  <w:num w:numId="21">
    <w:abstractNumId w:val="3"/>
  </w:num>
  <w:num w:numId="22">
    <w:abstractNumId w:val="24"/>
  </w:num>
  <w:num w:numId="23">
    <w:abstractNumId w:val="27"/>
  </w:num>
  <w:num w:numId="24">
    <w:abstractNumId w:val="1"/>
  </w:num>
  <w:num w:numId="25">
    <w:abstractNumId w:val="5"/>
  </w:num>
  <w:num w:numId="26">
    <w:abstractNumId w:val="8"/>
  </w:num>
  <w:num w:numId="27">
    <w:abstractNumId w:val="25"/>
  </w:num>
  <w:num w:numId="28">
    <w:abstractNumId w:val="16"/>
  </w:num>
  <w:num w:numId="29">
    <w:abstractNumId w:val="14"/>
  </w:num>
  <w:num w:numId="30">
    <w:abstractNumId w:val="18"/>
  </w:num>
  <w:num w:numId="31">
    <w:abstractNumId w:val="1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NotTrackMove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F21"/>
    <w:rsid w:val="0004001C"/>
    <w:rsid w:val="00041480"/>
    <w:rsid w:val="000451C2"/>
    <w:rsid w:val="000551C3"/>
    <w:rsid w:val="000563FE"/>
    <w:rsid w:val="00056D1D"/>
    <w:rsid w:val="00057E46"/>
    <w:rsid w:val="000605E8"/>
    <w:rsid w:val="0006100C"/>
    <w:rsid w:val="00070695"/>
    <w:rsid w:val="0007292E"/>
    <w:rsid w:val="00074B36"/>
    <w:rsid w:val="0009348A"/>
    <w:rsid w:val="000A31D9"/>
    <w:rsid w:val="000A683D"/>
    <w:rsid w:val="000B044C"/>
    <w:rsid w:val="000B078D"/>
    <w:rsid w:val="000C1F9B"/>
    <w:rsid w:val="000C6B8B"/>
    <w:rsid w:val="000D3366"/>
    <w:rsid w:val="000D4455"/>
    <w:rsid w:val="000D617B"/>
    <w:rsid w:val="000D7907"/>
    <w:rsid w:val="000E5143"/>
    <w:rsid w:val="000E697B"/>
    <w:rsid w:val="0010563E"/>
    <w:rsid w:val="00105F39"/>
    <w:rsid w:val="00110E04"/>
    <w:rsid w:val="00110F00"/>
    <w:rsid w:val="00125990"/>
    <w:rsid w:val="00132187"/>
    <w:rsid w:val="001440BB"/>
    <w:rsid w:val="00144875"/>
    <w:rsid w:val="0015046B"/>
    <w:rsid w:val="00151F9E"/>
    <w:rsid w:val="0015647A"/>
    <w:rsid w:val="00162189"/>
    <w:rsid w:val="0016421D"/>
    <w:rsid w:val="001654EF"/>
    <w:rsid w:val="0017224D"/>
    <w:rsid w:val="00182E60"/>
    <w:rsid w:val="0018682F"/>
    <w:rsid w:val="00197482"/>
    <w:rsid w:val="00197B9D"/>
    <w:rsid w:val="001A1371"/>
    <w:rsid w:val="001A53AC"/>
    <w:rsid w:val="001B370B"/>
    <w:rsid w:val="001C006F"/>
    <w:rsid w:val="001C084C"/>
    <w:rsid w:val="001E073D"/>
    <w:rsid w:val="001E2FA5"/>
    <w:rsid w:val="001F1131"/>
    <w:rsid w:val="002149E3"/>
    <w:rsid w:val="00224BF2"/>
    <w:rsid w:val="00226173"/>
    <w:rsid w:val="002269A9"/>
    <w:rsid w:val="00233822"/>
    <w:rsid w:val="0023543C"/>
    <w:rsid w:val="0024007A"/>
    <w:rsid w:val="002417A3"/>
    <w:rsid w:val="002513EB"/>
    <w:rsid w:val="00265FCD"/>
    <w:rsid w:val="00267073"/>
    <w:rsid w:val="00267DA4"/>
    <w:rsid w:val="00270087"/>
    <w:rsid w:val="00270792"/>
    <w:rsid w:val="00272201"/>
    <w:rsid w:val="00273C3C"/>
    <w:rsid w:val="00274DD6"/>
    <w:rsid w:val="00281EE5"/>
    <w:rsid w:val="002821C3"/>
    <w:rsid w:val="00292EF5"/>
    <w:rsid w:val="00293FEA"/>
    <w:rsid w:val="00294168"/>
    <w:rsid w:val="002A55A2"/>
    <w:rsid w:val="002C053B"/>
    <w:rsid w:val="002C163D"/>
    <w:rsid w:val="002C1D2D"/>
    <w:rsid w:val="002C562B"/>
    <w:rsid w:val="002D1B02"/>
    <w:rsid w:val="002D2098"/>
    <w:rsid w:val="002E1061"/>
    <w:rsid w:val="002E2470"/>
    <w:rsid w:val="002E6A81"/>
    <w:rsid w:val="002E740B"/>
    <w:rsid w:val="002E79E2"/>
    <w:rsid w:val="00300909"/>
    <w:rsid w:val="00302B40"/>
    <w:rsid w:val="00302C81"/>
    <w:rsid w:val="00304B1B"/>
    <w:rsid w:val="00313169"/>
    <w:rsid w:val="0031360B"/>
    <w:rsid w:val="00320A92"/>
    <w:rsid w:val="003301AF"/>
    <w:rsid w:val="00336D84"/>
    <w:rsid w:val="003516B4"/>
    <w:rsid w:val="003569EC"/>
    <w:rsid w:val="00357BA8"/>
    <w:rsid w:val="0036032B"/>
    <w:rsid w:val="00361C35"/>
    <w:rsid w:val="00367BCC"/>
    <w:rsid w:val="0037430A"/>
    <w:rsid w:val="0038426F"/>
    <w:rsid w:val="003843F4"/>
    <w:rsid w:val="00386704"/>
    <w:rsid w:val="00387CC6"/>
    <w:rsid w:val="003943F3"/>
    <w:rsid w:val="003952ED"/>
    <w:rsid w:val="00395F06"/>
    <w:rsid w:val="003A0EDF"/>
    <w:rsid w:val="003A68A5"/>
    <w:rsid w:val="003A69A7"/>
    <w:rsid w:val="003A7698"/>
    <w:rsid w:val="003C63D4"/>
    <w:rsid w:val="003C66A7"/>
    <w:rsid w:val="003D1C3C"/>
    <w:rsid w:val="003D5886"/>
    <w:rsid w:val="003D5945"/>
    <w:rsid w:val="003D60F6"/>
    <w:rsid w:val="003E48CA"/>
    <w:rsid w:val="003F367E"/>
    <w:rsid w:val="003F57DF"/>
    <w:rsid w:val="003F587A"/>
    <w:rsid w:val="003F6F8A"/>
    <w:rsid w:val="003F7F47"/>
    <w:rsid w:val="00405E80"/>
    <w:rsid w:val="00407699"/>
    <w:rsid w:val="00414FDC"/>
    <w:rsid w:val="004228B1"/>
    <w:rsid w:val="004230DD"/>
    <w:rsid w:val="00425DA9"/>
    <w:rsid w:val="00426417"/>
    <w:rsid w:val="00430FB5"/>
    <w:rsid w:val="00436A11"/>
    <w:rsid w:val="004374AD"/>
    <w:rsid w:val="004403A0"/>
    <w:rsid w:val="00442713"/>
    <w:rsid w:val="00456C12"/>
    <w:rsid w:val="00470378"/>
    <w:rsid w:val="00473AC2"/>
    <w:rsid w:val="00476830"/>
    <w:rsid w:val="004816D7"/>
    <w:rsid w:val="004826CD"/>
    <w:rsid w:val="00482A23"/>
    <w:rsid w:val="00485889"/>
    <w:rsid w:val="004943A0"/>
    <w:rsid w:val="004967DF"/>
    <w:rsid w:val="004A2B62"/>
    <w:rsid w:val="004A42DC"/>
    <w:rsid w:val="004A5B69"/>
    <w:rsid w:val="004C1BE1"/>
    <w:rsid w:val="004C3CE0"/>
    <w:rsid w:val="004D471F"/>
    <w:rsid w:val="004E042C"/>
    <w:rsid w:val="004E281F"/>
    <w:rsid w:val="004E5E26"/>
    <w:rsid w:val="004F42CD"/>
    <w:rsid w:val="00502A9A"/>
    <w:rsid w:val="00502E67"/>
    <w:rsid w:val="005053DE"/>
    <w:rsid w:val="00517D2F"/>
    <w:rsid w:val="00527CF2"/>
    <w:rsid w:val="00535A64"/>
    <w:rsid w:val="00537F7E"/>
    <w:rsid w:val="005417FC"/>
    <w:rsid w:val="00547F67"/>
    <w:rsid w:val="00550D1B"/>
    <w:rsid w:val="00562A58"/>
    <w:rsid w:val="005725FD"/>
    <w:rsid w:val="00582320"/>
    <w:rsid w:val="0059603C"/>
    <w:rsid w:val="00597F33"/>
    <w:rsid w:val="005A2959"/>
    <w:rsid w:val="005A301A"/>
    <w:rsid w:val="005B2426"/>
    <w:rsid w:val="005B6F7F"/>
    <w:rsid w:val="005C4197"/>
    <w:rsid w:val="005C5B56"/>
    <w:rsid w:val="005C6F84"/>
    <w:rsid w:val="005C77F0"/>
    <w:rsid w:val="005D6DC1"/>
    <w:rsid w:val="005E19FA"/>
    <w:rsid w:val="005E4BD2"/>
    <w:rsid w:val="005F0B4B"/>
    <w:rsid w:val="005F637B"/>
    <w:rsid w:val="00601A9B"/>
    <w:rsid w:val="00606978"/>
    <w:rsid w:val="00607262"/>
    <w:rsid w:val="00611008"/>
    <w:rsid w:val="00611375"/>
    <w:rsid w:val="00634A56"/>
    <w:rsid w:val="00635DED"/>
    <w:rsid w:val="006446DC"/>
    <w:rsid w:val="00644EE5"/>
    <w:rsid w:val="006456C0"/>
    <w:rsid w:val="006479C0"/>
    <w:rsid w:val="00651BEC"/>
    <w:rsid w:val="006654CC"/>
    <w:rsid w:val="006659ED"/>
    <w:rsid w:val="00665ADB"/>
    <w:rsid w:val="00675C40"/>
    <w:rsid w:val="006832CF"/>
    <w:rsid w:val="00691D83"/>
    <w:rsid w:val="006922AA"/>
    <w:rsid w:val="006A0DED"/>
    <w:rsid w:val="006A4358"/>
    <w:rsid w:val="006B3F60"/>
    <w:rsid w:val="006C6ABF"/>
    <w:rsid w:val="006D0409"/>
    <w:rsid w:val="006D32CA"/>
    <w:rsid w:val="006E304C"/>
    <w:rsid w:val="006E5DF4"/>
    <w:rsid w:val="006F57B5"/>
    <w:rsid w:val="007058C9"/>
    <w:rsid w:val="00717146"/>
    <w:rsid w:val="007279AA"/>
    <w:rsid w:val="00727FDB"/>
    <w:rsid w:val="00734EAB"/>
    <w:rsid w:val="00736A89"/>
    <w:rsid w:val="00737D5B"/>
    <w:rsid w:val="00743857"/>
    <w:rsid w:val="00743AE2"/>
    <w:rsid w:val="00744173"/>
    <w:rsid w:val="00745BEA"/>
    <w:rsid w:val="00746068"/>
    <w:rsid w:val="00752105"/>
    <w:rsid w:val="0076071A"/>
    <w:rsid w:val="00760806"/>
    <w:rsid w:val="0076713C"/>
    <w:rsid w:val="00776C80"/>
    <w:rsid w:val="00780A06"/>
    <w:rsid w:val="007815E3"/>
    <w:rsid w:val="0078717F"/>
    <w:rsid w:val="007922B4"/>
    <w:rsid w:val="00794AF5"/>
    <w:rsid w:val="007A44D1"/>
    <w:rsid w:val="007A4FCF"/>
    <w:rsid w:val="007B2A7A"/>
    <w:rsid w:val="007B5C38"/>
    <w:rsid w:val="007C0DFF"/>
    <w:rsid w:val="007C6E8B"/>
    <w:rsid w:val="007D06C9"/>
    <w:rsid w:val="007D0CB6"/>
    <w:rsid w:val="007D0CF8"/>
    <w:rsid w:val="007E2954"/>
    <w:rsid w:val="007E7DDD"/>
    <w:rsid w:val="007F0858"/>
    <w:rsid w:val="007F5655"/>
    <w:rsid w:val="00800C38"/>
    <w:rsid w:val="0081440E"/>
    <w:rsid w:val="008150C0"/>
    <w:rsid w:val="00816386"/>
    <w:rsid w:val="008261D6"/>
    <w:rsid w:val="0083766C"/>
    <w:rsid w:val="00846A44"/>
    <w:rsid w:val="00854CB5"/>
    <w:rsid w:val="00855396"/>
    <w:rsid w:val="0086056C"/>
    <w:rsid w:val="00860BCD"/>
    <w:rsid w:val="00864AB7"/>
    <w:rsid w:val="0086703E"/>
    <w:rsid w:val="008703CD"/>
    <w:rsid w:val="008731F1"/>
    <w:rsid w:val="00874112"/>
    <w:rsid w:val="008841F6"/>
    <w:rsid w:val="00892C4F"/>
    <w:rsid w:val="008A51D1"/>
    <w:rsid w:val="008D5ED4"/>
    <w:rsid w:val="008E6AC6"/>
    <w:rsid w:val="008F64ED"/>
    <w:rsid w:val="008F7B7F"/>
    <w:rsid w:val="00901A12"/>
    <w:rsid w:val="00901A73"/>
    <w:rsid w:val="00905570"/>
    <w:rsid w:val="00907204"/>
    <w:rsid w:val="00913168"/>
    <w:rsid w:val="00914D07"/>
    <w:rsid w:val="00925345"/>
    <w:rsid w:val="0092784B"/>
    <w:rsid w:val="00927BAA"/>
    <w:rsid w:val="0094024C"/>
    <w:rsid w:val="00940962"/>
    <w:rsid w:val="00941683"/>
    <w:rsid w:val="00942E9D"/>
    <w:rsid w:val="00943A3D"/>
    <w:rsid w:val="00945FD5"/>
    <w:rsid w:val="009502AF"/>
    <w:rsid w:val="00953DFA"/>
    <w:rsid w:val="00955D0E"/>
    <w:rsid w:val="00961E95"/>
    <w:rsid w:val="009659D3"/>
    <w:rsid w:val="00967D45"/>
    <w:rsid w:val="00970099"/>
    <w:rsid w:val="00974049"/>
    <w:rsid w:val="0097540E"/>
    <w:rsid w:val="009775EE"/>
    <w:rsid w:val="00980E61"/>
    <w:rsid w:val="00982AF0"/>
    <w:rsid w:val="00987A75"/>
    <w:rsid w:val="0099063E"/>
    <w:rsid w:val="009912D1"/>
    <w:rsid w:val="00993F4B"/>
    <w:rsid w:val="009A3202"/>
    <w:rsid w:val="009A5CDB"/>
    <w:rsid w:val="009A6F1C"/>
    <w:rsid w:val="009C12FF"/>
    <w:rsid w:val="009C67B2"/>
    <w:rsid w:val="009D1A9B"/>
    <w:rsid w:val="009D7EB5"/>
    <w:rsid w:val="009E1CD3"/>
    <w:rsid w:val="009E1F22"/>
    <w:rsid w:val="009E4582"/>
    <w:rsid w:val="009E69EE"/>
    <w:rsid w:val="009E7D04"/>
    <w:rsid w:val="009F0A6E"/>
    <w:rsid w:val="009F2B1E"/>
    <w:rsid w:val="009F4AD6"/>
    <w:rsid w:val="00A05DE3"/>
    <w:rsid w:val="00A10C13"/>
    <w:rsid w:val="00A11603"/>
    <w:rsid w:val="00A24E79"/>
    <w:rsid w:val="00A37301"/>
    <w:rsid w:val="00A4221C"/>
    <w:rsid w:val="00A444C9"/>
    <w:rsid w:val="00A4477D"/>
    <w:rsid w:val="00A55E05"/>
    <w:rsid w:val="00A56142"/>
    <w:rsid w:val="00A622E9"/>
    <w:rsid w:val="00A73CDE"/>
    <w:rsid w:val="00A7410A"/>
    <w:rsid w:val="00A7630E"/>
    <w:rsid w:val="00A8413A"/>
    <w:rsid w:val="00A85984"/>
    <w:rsid w:val="00A8630E"/>
    <w:rsid w:val="00A930C5"/>
    <w:rsid w:val="00A93137"/>
    <w:rsid w:val="00A9615C"/>
    <w:rsid w:val="00AA577E"/>
    <w:rsid w:val="00AB0599"/>
    <w:rsid w:val="00AB07F0"/>
    <w:rsid w:val="00AB119D"/>
    <w:rsid w:val="00AB6ECE"/>
    <w:rsid w:val="00AD51BF"/>
    <w:rsid w:val="00AE2724"/>
    <w:rsid w:val="00AE5BD5"/>
    <w:rsid w:val="00B007D3"/>
    <w:rsid w:val="00B13154"/>
    <w:rsid w:val="00B17A2C"/>
    <w:rsid w:val="00B17A4D"/>
    <w:rsid w:val="00B23A5C"/>
    <w:rsid w:val="00B24CC4"/>
    <w:rsid w:val="00B30406"/>
    <w:rsid w:val="00B308DB"/>
    <w:rsid w:val="00B3216E"/>
    <w:rsid w:val="00B35BA2"/>
    <w:rsid w:val="00B70722"/>
    <w:rsid w:val="00B73F8D"/>
    <w:rsid w:val="00BC5D10"/>
    <w:rsid w:val="00BD71C5"/>
    <w:rsid w:val="00BE14E3"/>
    <w:rsid w:val="00BF1E40"/>
    <w:rsid w:val="00BF27A5"/>
    <w:rsid w:val="00BF4047"/>
    <w:rsid w:val="00C02083"/>
    <w:rsid w:val="00C039DA"/>
    <w:rsid w:val="00C24CD7"/>
    <w:rsid w:val="00C353D2"/>
    <w:rsid w:val="00C4003A"/>
    <w:rsid w:val="00C41A30"/>
    <w:rsid w:val="00C4558A"/>
    <w:rsid w:val="00C5412A"/>
    <w:rsid w:val="00C55B36"/>
    <w:rsid w:val="00C629A0"/>
    <w:rsid w:val="00C658DE"/>
    <w:rsid w:val="00C65FEF"/>
    <w:rsid w:val="00C779F1"/>
    <w:rsid w:val="00C844A0"/>
    <w:rsid w:val="00C90CB0"/>
    <w:rsid w:val="00C94520"/>
    <w:rsid w:val="00C94FF0"/>
    <w:rsid w:val="00CA0DB1"/>
    <w:rsid w:val="00CA4848"/>
    <w:rsid w:val="00CA73C2"/>
    <w:rsid w:val="00CC04CA"/>
    <w:rsid w:val="00CC2240"/>
    <w:rsid w:val="00CE14B3"/>
    <w:rsid w:val="00CE3161"/>
    <w:rsid w:val="00D04C15"/>
    <w:rsid w:val="00D10507"/>
    <w:rsid w:val="00D16534"/>
    <w:rsid w:val="00D210E8"/>
    <w:rsid w:val="00D2599B"/>
    <w:rsid w:val="00D31492"/>
    <w:rsid w:val="00D35C51"/>
    <w:rsid w:val="00D44909"/>
    <w:rsid w:val="00D5358E"/>
    <w:rsid w:val="00D53F88"/>
    <w:rsid w:val="00D619E3"/>
    <w:rsid w:val="00D704B2"/>
    <w:rsid w:val="00D74869"/>
    <w:rsid w:val="00D7570B"/>
    <w:rsid w:val="00D776BA"/>
    <w:rsid w:val="00D77A82"/>
    <w:rsid w:val="00D84059"/>
    <w:rsid w:val="00D84410"/>
    <w:rsid w:val="00D91482"/>
    <w:rsid w:val="00D95BE6"/>
    <w:rsid w:val="00DA07E2"/>
    <w:rsid w:val="00DA1CBE"/>
    <w:rsid w:val="00DD60B1"/>
    <w:rsid w:val="00DD7E31"/>
    <w:rsid w:val="00DF003F"/>
    <w:rsid w:val="00DF1210"/>
    <w:rsid w:val="00DF6509"/>
    <w:rsid w:val="00E008DF"/>
    <w:rsid w:val="00E04AF7"/>
    <w:rsid w:val="00E10022"/>
    <w:rsid w:val="00E11D34"/>
    <w:rsid w:val="00E21DF7"/>
    <w:rsid w:val="00E2614D"/>
    <w:rsid w:val="00E26F7F"/>
    <w:rsid w:val="00E32121"/>
    <w:rsid w:val="00E3288E"/>
    <w:rsid w:val="00E352A5"/>
    <w:rsid w:val="00E36D23"/>
    <w:rsid w:val="00E46688"/>
    <w:rsid w:val="00E61A1A"/>
    <w:rsid w:val="00E74A03"/>
    <w:rsid w:val="00E80D01"/>
    <w:rsid w:val="00E84244"/>
    <w:rsid w:val="00E85FD4"/>
    <w:rsid w:val="00E957BE"/>
    <w:rsid w:val="00EC6576"/>
    <w:rsid w:val="00EC6668"/>
    <w:rsid w:val="00ED4707"/>
    <w:rsid w:val="00ED5E37"/>
    <w:rsid w:val="00EE4B23"/>
    <w:rsid w:val="00EF18F3"/>
    <w:rsid w:val="00EF25EE"/>
    <w:rsid w:val="00F03714"/>
    <w:rsid w:val="00F075AA"/>
    <w:rsid w:val="00F24F21"/>
    <w:rsid w:val="00F362A4"/>
    <w:rsid w:val="00F411C6"/>
    <w:rsid w:val="00F41EE9"/>
    <w:rsid w:val="00F6406B"/>
    <w:rsid w:val="00F6789C"/>
    <w:rsid w:val="00F730F2"/>
    <w:rsid w:val="00F76929"/>
    <w:rsid w:val="00F82A97"/>
    <w:rsid w:val="00F83167"/>
    <w:rsid w:val="00F83FA6"/>
    <w:rsid w:val="00F90B31"/>
    <w:rsid w:val="00F936F1"/>
    <w:rsid w:val="00FA3133"/>
    <w:rsid w:val="00FA3FCB"/>
    <w:rsid w:val="00FA6626"/>
    <w:rsid w:val="00FB429C"/>
    <w:rsid w:val="00FC4BFB"/>
    <w:rsid w:val="00FD16A4"/>
    <w:rsid w:val="00FD297F"/>
    <w:rsid w:val="00FD2A78"/>
    <w:rsid w:val="00FD5318"/>
    <w:rsid w:val="00FD5D6E"/>
    <w:rsid w:val="00FE04A0"/>
    <w:rsid w:val="00FF14F6"/>
    <w:rsid w:val="00FF281F"/>
    <w:rsid w:val="00FF3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C93305"/>
  <w15:chartTrackingRefBased/>
  <w15:docId w15:val="{8D7F30C2-BDC2-44A3-9B54-FD12358C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6" w:unhideWhenUsed="1" w:qFormat="1"/>
    <w:lsdException w:name="heading 3" w:semiHidden="1" w:uiPriority="6" w:unhideWhenUsed="1" w:qFormat="1"/>
    <w:lsdException w:name="heading 4" w:semiHidden="1" w:uiPriority="6" w:unhideWhenUsed="1" w:qFormat="1"/>
    <w:lsdException w:name="heading 5" w:semiHidden="1" w:uiPriority="6"/>
    <w:lsdException w:name="heading 6" w:semiHidden="1" w:uiPriority="6" w:qFormat="1"/>
    <w:lsdException w:name="heading 7" w:semiHidden="1" w:uiPriority="6" w:qFormat="1"/>
    <w:lsdException w:name="heading 8" w:semiHidden="1" w:uiPriority="6" w:qFormat="1"/>
    <w:lsdException w:name="heading 9" w:semiHidden="1" w:uiPriority="6"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7"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0" w:qFormat="1"/>
    <w:lsdException w:name="Intense Quote" w:uiPriority="2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7"/>
    <w:lsdException w:name="Subtle Reference" w:uiPriority="22"/>
    <w:lsdException w:name="Intense Reference" w:uiPriority="23"/>
    <w:lsdException w:name="Book Title" w:uiPriority="24"/>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655"/>
  </w:style>
  <w:style w:type="paragraph" w:styleId="Heading1">
    <w:name w:val="heading 1"/>
    <w:basedOn w:val="Normal"/>
    <w:next w:val="Normal"/>
    <w:link w:val="Heading1Char"/>
    <w:uiPriority w:val="3"/>
    <w:qFormat/>
    <w:rsid w:val="00FD16A4"/>
    <w:pPr>
      <w:keepNext/>
      <w:keepLines/>
      <w:spacing w:before="2280" w:after="600"/>
      <w:outlineLvl w:val="0"/>
    </w:pPr>
    <w:rPr>
      <w:rFonts w:eastAsiaTheme="majorEastAsia" w:cstheme="minorHAnsi"/>
      <w:b/>
      <w:noProof/>
      <w:color w:val="242852" w:themeColor="text2"/>
      <w:sz w:val="80"/>
      <w:szCs w:val="80"/>
    </w:rPr>
  </w:style>
  <w:style w:type="paragraph" w:styleId="Heading2">
    <w:name w:val="heading 2"/>
    <w:basedOn w:val="Normal"/>
    <w:next w:val="Normal"/>
    <w:link w:val="Heading2Char"/>
    <w:uiPriority w:val="6"/>
    <w:qFormat/>
    <w:rsid w:val="009E69EE"/>
    <w:pPr>
      <w:keepNext/>
      <w:keepLines/>
      <w:spacing w:before="360" w:after="240"/>
      <w:outlineLvl w:val="1"/>
    </w:pPr>
    <w:rPr>
      <w:rFonts w:asciiTheme="majorHAnsi" w:eastAsiaTheme="majorEastAsia" w:hAnsiTheme="majorHAnsi" w:cstheme="majorBidi"/>
      <w:b/>
      <w:color w:val="242852" w:themeColor="text2"/>
      <w:sz w:val="52"/>
      <w:szCs w:val="26"/>
    </w:rPr>
  </w:style>
  <w:style w:type="paragraph" w:styleId="Heading3">
    <w:name w:val="heading 3"/>
    <w:basedOn w:val="Normal"/>
    <w:next w:val="Normal"/>
    <w:link w:val="Heading3Char"/>
    <w:uiPriority w:val="6"/>
    <w:qFormat/>
    <w:rsid w:val="00D31492"/>
    <w:pPr>
      <w:keepNext/>
      <w:keepLines/>
      <w:pBdr>
        <w:top w:val="single" w:sz="18" w:space="4" w:color="000000" w:themeColor="text1"/>
      </w:pBdr>
      <w:spacing w:before="360" w:after="240" w:line="252" w:lineRule="auto"/>
      <w:outlineLvl w:val="2"/>
    </w:pPr>
    <w:rPr>
      <w:rFonts w:eastAsiaTheme="majorEastAsia" w:cstheme="minorHAnsi"/>
      <w:b/>
      <w:color w:val="1E5F9F" w:themeColor="accent1"/>
      <w:sz w:val="36"/>
      <w:szCs w:val="28"/>
      <w14:textFill>
        <w14:gradFill>
          <w14:gsLst>
            <w14:gs w14:pos="0">
              <w14:schemeClr w14:val="accent1"/>
            </w14:gs>
            <w14:gs w14:pos="90000">
              <w14:schemeClr w14:val="tx2"/>
            </w14:gs>
          </w14:gsLst>
          <w14:lin w14:ang="16200000" w14:scaled="0"/>
        </w14:gradFill>
      </w14:textFill>
    </w:rPr>
  </w:style>
  <w:style w:type="paragraph" w:styleId="Heading4">
    <w:name w:val="heading 4"/>
    <w:basedOn w:val="Normal"/>
    <w:next w:val="Normal"/>
    <w:link w:val="Heading4Char"/>
    <w:uiPriority w:val="6"/>
    <w:qFormat/>
    <w:rsid w:val="00D31492"/>
    <w:pPr>
      <w:pBdr>
        <w:top w:val="single" w:sz="4" w:space="1" w:color="FFFFFF" w:themeColor="background1"/>
        <w:left w:val="single" w:sz="48" w:space="4" w:color="1E5F9F" w:themeColor="accent1"/>
        <w:bottom w:val="single" w:sz="4" w:space="1" w:color="FFFFFF" w:themeColor="background1"/>
      </w:pBdr>
      <w:spacing w:before="240" w:line="216" w:lineRule="auto"/>
      <w:ind w:left="216"/>
      <w:outlineLvl w:val="3"/>
    </w:pPr>
    <w:rPr>
      <w:b/>
      <w:color w:val="262626" w:themeColor="text1" w:themeTint="D9"/>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aherTable">
    <w:name w:val="Maher Table"/>
    <w:basedOn w:val="GridTable4-Accent3"/>
    <w:uiPriority w:val="99"/>
    <w:rsid w:val="0037430A"/>
    <w:pPr>
      <w:jc w:val="center"/>
    </w:pPr>
    <w:tblPr/>
    <w:tcPr>
      <w:vAlign w:val="center"/>
    </w:tcPr>
    <w:tblStylePr w:type="firstRow">
      <w:rPr>
        <w:b/>
        <w:bCs/>
        <w:color w:val="FFFFFF" w:themeColor="background1"/>
      </w:rPr>
      <w:tblPr/>
      <w:tcPr>
        <w:tcBorders>
          <w:top w:val="single" w:sz="4" w:space="0" w:color="164676" w:themeColor="accent1" w:themeShade="BF"/>
          <w:left w:val="single" w:sz="4" w:space="0" w:color="164676" w:themeColor="accent1" w:themeShade="BF"/>
          <w:bottom w:val="single" w:sz="4" w:space="0" w:color="164676" w:themeColor="accent1" w:themeShade="BF"/>
          <w:right w:val="single" w:sz="4" w:space="0" w:color="164676" w:themeColor="accent1" w:themeShade="BF"/>
          <w:insideH w:val="single" w:sz="4" w:space="0" w:color="164676" w:themeColor="accent1" w:themeShade="BF"/>
          <w:insideV w:val="single" w:sz="4" w:space="0" w:color="164676" w:themeColor="accent1" w:themeShade="BF"/>
          <w:tl2br w:val="nil"/>
          <w:tr2bl w:val="nil"/>
        </w:tcBorders>
        <w:shd w:val="clear" w:color="auto" w:fill="1E5F9F" w:themeFill="accent1"/>
      </w:tcPr>
    </w:tblStylePr>
    <w:tblStylePr w:type="lastRow">
      <w:rPr>
        <w:b/>
        <w:bCs/>
      </w:rPr>
      <w:tblPr/>
      <w:tcPr>
        <w:tcBorders>
          <w:top w:val="double" w:sz="4" w:space="0" w:color="297FD5" w:themeColor="accent3"/>
        </w:tcBorders>
      </w:tcPr>
    </w:tblStylePr>
    <w:tblStylePr w:type="firstCol">
      <w:rPr>
        <w:b/>
        <w:bCs/>
        <w:color w:val="596984" w:themeColor="accent4"/>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StylePr>
    <w:tblStylePr w:type="band1Vert">
      <w:tblPr/>
      <w:tcPr>
        <w:shd w:val="clear" w:color="auto" w:fill="D3E5F6" w:themeFill="accent3" w:themeFillTint="33"/>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37430A"/>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insideV w:val="nil"/>
        </w:tcBorders>
        <w:shd w:val="clear" w:color="auto" w:fill="297FD5" w:themeFill="accent3"/>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character" w:customStyle="1" w:styleId="Heading1Char">
    <w:name w:val="Heading 1 Char"/>
    <w:basedOn w:val="DefaultParagraphFont"/>
    <w:link w:val="Heading1"/>
    <w:uiPriority w:val="3"/>
    <w:rsid w:val="00EC6668"/>
    <w:rPr>
      <w:rFonts w:eastAsiaTheme="majorEastAsia" w:cstheme="minorHAnsi"/>
      <w:b/>
      <w:noProof/>
      <w:color w:val="242852" w:themeColor="text2"/>
      <w:sz w:val="80"/>
      <w:szCs w:val="80"/>
    </w:rPr>
  </w:style>
  <w:style w:type="paragraph" w:styleId="Subtitle">
    <w:name w:val="Subtitle"/>
    <w:basedOn w:val="Normal"/>
    <w:next w:val="Normal"/>
    <w:link w:val="SubtitleChar"/>
    <w:uiPriority w:val="4"/>
    <w:qFormat/>
    <w:rsid w:val="00FD16A4"/>
    <w:pPr>
      <w:numPr>
        <w:ilvl w:val="1"/>
      </w:numPr>
      <w:spacing w:before="360" w:after="0"/>
      <w:ind w:left="72"/>
    </w:pPr>
    <w:rPr>
      <w:rFonts w:eastAsiaTheme="minorEastAsia"/>
      <w:color w:val="224F76" w:themeColor="accent2"/>
      <w:spacing w:val="10"/>
      <w:sz w:val="52"/>
    </w:rPr>
  </w:style>
  <w:style w:type="character" w:customStyle="1" w:styleId="SubtitleChar">
    <w:name w:val="Subtitle Char"/>
    <w:basedOn w:val="DefaultParagraphFont"/>
    <w:link w:val="Subtitle"/>
    <w:uiPriority w:val="4"/>
    <w:rsid w:val="00EC6668"/>
    <w:rPr>
      <w:rFonts w:eastAsiaTheme="minorEastAsia"/>
      <w:color w:val="224F76" w:themeColor="accent2"/>
      <w:spacing w:val="10"/>
      <w:sz w:val="52"/>
    </w:rPr>
  </w:style>
  <w:style w:type="character" w:customStyle="1" w:styleId="Heading2Char">
    <w:name w:val="Heading 2 Char"/>
    <w:basedOn w:val="DefaultParagraphFont"/>
    <w:link w:val="Heading2"/>
    <w:uiPriority w:val="6"/>
    <w:rsid w:val="00EC6668"/>
    <w:rPr>
      <w:rFonts w:asciiTheme="majorHAnsi" w:eastAsiaTheme="majorEastAsia" w:hAnsiTheme="majorHAnsi" w:cstheme="majorBidi"/>
      <w:b/>
      <w:color w:val="242852" w:themeColor="text2"/>
      <w:sz w:val="52"/>
      <w:szCs w:val="26"/>
    </w:rPr>
  </w:style>
  <w:style w:type="paragraph" w:styleId="Header">
    <w:name w:val="header"/>
    <w:basedOn w:val="Normal"/>
    <w:link w:val="HeaderChar"/>
    <w:uiPriority w:val="99"/>
    <w:unhideWhenUsed/>
    <w:qFormat/>
    <w:rsid w:val="00E36D23"/>
    <w:pPr>
      <w:tabs>
        <w:tab w:val="left" w:pos="6898"/>
      </w:tabs>
      <w:spacing w:after="1080" w:line="240" w:lineRule="auto"/>
      <w:ind w:left="-720" w:right="-720"/>
      <w:contextualSpacing/>
    </w:pPr>
    <w:rPr>
      <w:b/>
      <w:noProof/>
      <w:color w:val="224F76" w:themeColor="accent2"/>
    </w:rPr>
  </w:style>
  <w:style w:type="character" w:customStyle="1" w:styleId="HeaderChar">
    <w:name w:val="Header Char"/>
    <w:basedOn w:val="DefaultParagraphFont"/>
    <w:link w:val="Header"/>
    <w:uiPriority w:val="99"/>
    <w:rsid w:val="00E36D23"/>
    <w:rPr>
      <w:b/>
      <w:noProof/>
      <w:color w:val="224F76" w:themeColor="accent2"/>
    </w:rPr>
  </w:style>
  <w:style w:type="paragraph" w:styleId="Footer">
    <w:name w:val="footer"/>
    <w:basedOn w:val="Normal"/>
    <w:link w:val="FooterChar"/>
    <w:uiPriority w:val="99"/>
    <w:unhideWhenUsed/>
    <w:qFormat/>
    <w:rsid w:val="00E36D23"/>
    <w:pPr>
      <w:pBdr>
        <w:top w:val="single" w:sz="24" w:space="3" w:color="1E5F9F" w:themeColor="accent1"/>
      </w:pBdr>
      <w:tabs>
        <w:tab w:val="right" w:pos="9360"/>
      </w:tabs>
      <w:spacing w:after="0" w:line="240" w:lineRule="auto"/>
      <w:ind w:left="-720" w:right="-720"/>
      <w:jc w:val="center"/>
    </w:pPr>
  </w:style>
  <w:style w:type="character" w:customStyle="1" w:styleId="FooterChar">
    <w:name w:val="Footer Char"/>
    <w:basedOn w:val="DefaultParagraphFont"/>
    <w:link w:val="Footer"/>
    <w:uiPriority w:val="99"/>
    <w:rsid w:val="00E36D23"/>
  </w:style>
  <w:style w:type="character" w:styleId="Hyperlink">
    <w:name w:val="Hyperlink"/>
    <w:basedOn w:val="DefaultParagraphFont"/>
    <w:uiPriority w:val="99"/>
    <w:unhideWhenUsed/>
    <w:qFormat/>
    <w:rsid w:val="004E5E26"/>
    <w:rPr>
      <w:color w:val="1E5F9F" w:themeColor="hyperlink"/>
      <w:u w:val="single"/>
    </w:rPr>
  </w:style>
  <w:style w:type="character" w:customStyle="1" w:styleId="UnresolvedMention1">
    <w:name w:val="Unresolved Mention1"/>
    <w:basedOn w:val="DefaultParagraphFont"/>
    <w:uiPriority w:val="99"/>
    <w:semiHidden/>
    <w:unhideWhenUsed/>
    <w:rsid w:val="004E5E26"/>
    <w:rPr>
      <w:color w:val="605E5C"/>
      <w:shd w:val="clear" w:color="auto" w:fill="E1DFDD"/>
    </w:rPr>
  </w:style>
  <w:style w:type="paragraph" w:styleId="ListParagraph">
    <w:name w:val="List Paragraph"/>
    <w:basedOn w:val="Normal"/>
    <w:uiPriority w:val="34"/>
    <w:qFormat/>
    <w:rsid w:val="00AB6ECE"/>
    <w:pPr>
      <w:numPr>
        <w:numId w:val="17"/>
      </w:numPr>
      <w:contextualSpacing/>
    </w:pPr>
  </w:style>
  <w:style w:type="character" w:styleId="Strong">
    <w:name w:val="Strong"/>
    <w:basedOn w:val="DefaultParagraphFont"/>
    <w:uiPriority w:val="7"/>
    <w:qFormat/>
    <w:rsid w:val="00606978"/>
    <w:rPr>
      <w:b/>
      <w:bCs/>
    </w:rPr>
  </w:style>
  <w:style w:type="character" w:customStyle="1" w:styleId="Heading3Char">
    <w:name w:val="Heading 3 Char"/>
    <w:basedOn w:val="DefaultParagraphFont"/>
    <w:link w:val="Heading3"/>
    <w:uiPriority w:val="6"/>
    <w:rsid w:val="00EC6668"/>
    <w:rPr>
      <w:rFonts w:eastAsiaTheme="majorEastAsia" w:cstheme="minorHAnsi"/>
      <w:b/>
      <w:color w:val="1E5F9F" w:themeColor="accent1"/>
      <w:sz w:val="36"/>
      <w:szCs w:val="28"/>
      <w14:textFill>
        <w14:gradFill>
          <w14:gsLst>
            <w14:gs w14:pos="0">
              <w14:schemeClr w14:val="accent1"/>
            </w14:gs>
            <w14:gs w14:pos="90000">
              <w14:schemeClr w14:val="tx2"/>
            </w14:gs>
          </w14:gsLst>
          <w14:lin w14:ang="16200000" w14:scaled="0"/>
        </w14:gradFill>
      </w14:textFill>
    </w:rPr>
  </w:style>
  <w:style w:type="character" w:customStyle="1" w:styleId="Heading4Char">
    <w:name w:val="Heading 4 Char"/>
    <w:basedOn w:val="DefaultParagraphFont"/>
    <w:link w:val="Heading4"/>
    <w:uiPriority w:val="6"/>
    <w:rsid w:val="00EC6668"/>
    <w:rPr>
      <w:b/>
      <w:color w:val="262626" w:themeColor="text1" w:themeTint="D9"/>
      <w:sz w:val="30"/>
      <w:szCs w:val="30"/>
    </w:rPr>
  </w:style>
  <w:style w:type="character" w:styleId="CommentReference">
    <w:name w:val="annotation reference"/>
    <w:basedOn w:val="DefaultParagraphFont"/>
    <w:uiPriority w:val="99"/>
    <w:semiHidden/>
    <w:unhideWhenUsed/>
    <w:rsid w:val="000D617B"/>
    <w:rPr>
      <w:sz w:val="16"/>
      <w:szCs w:val="16"/>
    </w:rPr>
  </w:style>
  <w:style w:type="paragraph" w:styleId="CommentText">
    <w:name w:val="annotation text"/>
    <w:basedOn w:val="Normal"/>
    <w:link w:val="CommentTextChar"/>
    <w:uiPriority w:val="99"/>
    <w:semiHidden/>
    <w:unhideWhenUsed/>
    <w:rsid w:val="000D617B"/>
    <w:pPr>
      <w:spacing w:line="240" w:lineRule="auto"/>
    </w:pPr>
    <w:rPr>
      <w:sz w:val="20"/>
      <w:szCs w:val="20"/>
    </w:rPr>
  </w:style>
  <w:style w:type="character" w:customStyle="1" w:styleId="CommentTextChar">
    <w:name w:val="Comment Text Char"/>
    <w:basedOn w:val="DefaultParagraphFont"/>
    <w:link w:val="CommentText"/>
    <w:uiPriority w:val="99"/>
    <w:semiHidden/>
    <w:rsid w:val="000D617B"/>
    <w:rPr>
      <w:sz w:val="20"/>
      <w:szCs w:val="20"/>
    </w:rPr>
  </w:style>
  <w:style w:type="paragraph" w:styleId="CommentSubject">
    <w:name w:val="annotation subject"/>
    <w:basedOn w:val="CommentText"/>
    <w:next w:val="CommentText"/>
    <w:link w:val="CommentSubjectChar"/>
    <w:uiPriority w:val="99"/>
    <w:semiHidden/>
    <w:unhideWhenUsed/>
    <w:rsid w:val="000D617B"/>
    <w:rPr>
      <w:b/>
      <w:bCs/>
    </w:rPr>
  </w:style>
  <w:style w:type="character" w:customStyle="1" w:styleId="CommentSubjectChar">
    <w:name w:val="Comment Subject Char"/>
    <w:basedOn w:val="CommentTextChar"/>
    <w:link w:val="CommentSubject"/>
    <w:uiPriority w:val="99"/>
    <w:semiHidden/>
    <w:rsid w:val="000D617B"/>
    <w:rPr>
      <w:b/>
      <w:bCs/>
      <w:sz w:val="20"/>
      <w:szCs w:val="20"/>
    </w:rPr>
  </w:style>
  <w:style w:type="paragraph" w:styleId="BalloonText">
    <w:name w:val="Balloon Text"/>
    <w:basedOn w:val="Normal"/>
    <w:link w:val="BalloonTextChar"/>
    <w:uiPriority w:val="99"/>
    <w:semiHidden/>
    <w:unhideWhenUsed/>
    <w:rsid w:val="000D6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17B"/>
    <w:rPr>
      <w:rFonts w:ascii="Segoe UI" w:hAnsi="Segoe UI" w:cs="Segoe UI"/>
      <w:sz w:val="18"/>
      <w:szCs w:val="18"/>
    </w:rPr>
  </w:style>
  <w:style w:type="character" w:styleId="FollowedHyperlink">
    <w:name w:val="FollowedHyperlink"/>
    <w:basedOn w:val="DefaultParagraphFont"/>
    <w:uiPriority w:val="99"/>
    <w:semiHidden/>
    <w:unhideWhenUsed/>
    <w:rsid w:val="00D84059"/>
    <w:rPr>
      <w:color w:val="3B4658" w:themeColor="followedHyperlink"/>
      <w:u w:val="single"/>
    </w:rPr>
  </w:style>
  <w:style w:type="character" w:styleId="Emphasis">
    <w:name w:val="Emphasis"/>
    <w:basedOn w:val="DefaultParagraphFont"/>
    <w:uiPriority w:val="7"/>
    <w:qFormat/>
    <w:rsid w:val="0024007A"/>
    <w:rPr>
      <w:i/>
      <w:iCs/>
    </w:rPr>
  </w:style>
  <w:style w:type="paragraph" w:customStyle="1" w:styleId="IntroParagraph">
    <w:name w:val="Intro Paragraph"/>
    <w:link w:val="IntroParagraphChar"/>
    <w:uiPriority w:val="8"/>
    <w:qFormat/>
    <w:rsid w:val="003F7F47"/>
    <w:pPr>
      <w:spacing w:before="240" w:after="480"/>
    </w:pPr>
    <w:rPr>
      <w:rFonts w:eastAsiaTheme="minorEastAsia"/>
      <w:color w:val="164676" w:themeColor="accent1" w:themeShade="BF"/>
      <w:spacing w:val="10"/>
      <w:sz w:val="28"/>
    </w:rPr>
  </w:style>
  <w:style w:type="paragraph" w:customStyle="1" w:styleId="TipHeading">
    <w:name w:val="Tip Heading"/>
    <w:basedOn w:val="TipBody"/>
    <w:next w:val="TipBody"/>
    <w:link w:val="TipHeadingChar"/>
    <w:uiPriority w:val="24"/>
    <w:qFormat/>
    <w:rsid w:val="00D31492"/>
    <w:pPr>
      <w:shd w:val="clear" w:color="auto" w:fill="1E5F9F" w:themeFill="accent1"/>
      <w:spacing w:after="80" w:line="240" w:lineRule="auto"/>
    </w:pPr>
    <w:rPr>
      <w:color w:val="FFFFFF" w:themeColor="background1"/>
      <w:spacing w:val="8"/>
      <w:sz w:val="36"/>
      <w14:shadow w14:blurRad="50800" w14:dist="38100" w14:dir="2700000" w14:sx="100000" w14:sy="100000" w14:kx="0" w14:ky="0" w14:algn="tl">
        <w14:srgbClr w14:val="000000">
          <w14:alpha w14:val="60000"/>
        </w14:srgbClr>
      </w14:shadow>
    </w:rPr>
  </w:style>
  <w:style w:type="character" w:customStyle="1" w:styleId="IntroParagraphChar">
    <w:name w:val="Intro Paragraph Char"/>
    <w:basedOn w:val="SubtitleChar"/>
    <w:link w:val="IntroParagraph"/>
    <w:uiPriority w:val="8"/>
    <w:rsid w:val="00EC6668"/>
    <w:rPr>
      <w:rFonts w:eastAsiaTheme="minorEastAsia"/>
      <w:color w:val="164676" w:themeColor="accent1" w:themeShade="BF"/>
      <w:spacing w:val="10"/>
      <w:sz w:val="28"/>
    </w:rPr>
  </w:style>
  <w:style w:type="paragraph" w:customStyle="1" w:styleId="TipBody">
    <w:name w:val="Tip Body"/>
    <w:basedOn w:val="Normal"/>
    <w:link w:val="TipBodyChar"/>
    <w:uiPriority w:val="25"/>
    <w:qFormat/>
    <w:rsid w:val="001B370B"/>
    <w:pPr>
      <w:pBdr>
        <w:top w:val="thinThickLargeGap" w:sz="36" w:space="4" w:color="1E5F9F" w:themeColor="accent1" w:shadow="1"/>
        <w:left w:val="thinThickLargeGap" w:sz="36" w:space="4" w:color="1E5F9F" w:themeColor="accent1" w:shadow="1"/>
        <w:bottom w:val="thinThickLargeGap" w:sz="36" w:space="4" w:color="1E5F9F" w:themeColor="accent1" w:shadow="1"/>
        <w:right w:val="thinThickLargeGap" w:sz="36" w:space="4" w:color="1E5F9F" w:themeColor="accent1" w:shadow="1"/>
      </w:pBdr>
      <w:spacing w:before="160"/>
      <w:ind w:left="216" w:right="216"/>
    </w:pPr>
    <w:rPr>
      <w:color w:val="164676" w:themeColor="accent1" w:themeShade="BF"/>
      <w:sz w:val="24"/>
    </w:rPr>
  </w:style>
  <w:style w:type="character" w:customStyle="1" w:styleId="TipHeadingChar">
    <w:name w:val="Tip Heading Char"/>
    <w:basedOn w:val="DefaultParagraphFont"/>
    <w:link w:val="TipHeading"/>
    <w:uiPriority w:val="24"/>
    <w:rsid w:val="00D31492"/>
    <w:rPr>
      <w:color w:val="FFFFFF" w:themeColor="background1"/>
      <w:spacing w:val="8"/>
      <w:sz w:val="36"/>
      <w:shd w:val="clear" w:color="auto" w:fill="1E5F9F" w:themeFill="accent1"/>
      <w14:shadow w14:blurRad="50800" w14:dist="38100" w14:dir="2700000" w14:sx="100000" w14:sy="100000" w14:kx="0" w14:ky="0" w14:algn="tl">
        <w14:srgbClr w14:val="000000">
          <w14:alpha w14:val="60000"/>
        </w14:srgbClr>
      </w14:shadow>
    </w:rPr>
  </w:style>
  <w:style w:type="paragraph" w:customStyle="1" w:styleId="Tipbullets">
    <w:name w:val="Tip bullets"/>
    <w:basedOn w:val="TipBody"/>
    <w:link w:val="TipbulletsChar"/>
    <w:uiPriority w:val="25"/>
    <w:qFormat/>
    <w:rsid w:val="00BE14E3"/>
    <w:pPr>
      <w:numPr>
        <w:numId w:val="10"/>
      </w:numPr>
    </w:pPr>
  </w:style>
  <w:style w:type="character" w:customStyle="1" w:styleId="TipBodyChar">
    <w:name w:val="Tip Body Char"/>
    <w:basedOn w:val="DefaultParagraphFont"/>
    <w:link w:val="TipBody"/>
    <w:uiPriority w:val="25"/>
    <w:rsid w:val="001B370B"/>
    <w:rPr>
      <w:color w:val="164676" w:themeColor="accent1" w:themeShade="BF"/>
      <w:sz w:val="24"/>
    </w:rPr>
  </w:style>
  <w:style w:type="numbering" w:customStyle="1" w:styleId="BulletList">
    <w:name w:val="Bullet List"/>
    <w:uiPriority w:val="99"/>
    <w:rsid w:val="00A4221C"/>
    <w:pPr>
      <w:numPr>
        <w:numId w:val="7"/>
      </w:numPr>
    </w:pPr>
  </w:style>
  <w:style w:type="character" w:customStyle="1" w:styleId="TipbulletsChar">
    <w:name w:val="Tip bullets Char"/>
    <w:basedOn w:val="TipBodyChar"/>
    <w:link w:val="Tipbullets"/>
    <w:uiPriority w:val="25"/>
    <w:rsid w:val="00BE14E3"/>
    <w:rPr>
      <w:color w:val="164676" w:themeColor="accent1" w:themeShade="BF"/>
      <w:sz w:val="24"/>
    </w:rPr>
  </w:style>
  <w:style w:type="paragraph" w:styleId="Quote">
    <w:name w:val="Quote"/>
    <w:basedOn w:val="Normal"/>
    <w:next w:val="Normal"/>
    <w:link w:val="QuoteChar"/>
    <w:uiPriority w:val="20"/>
    <w:qFormat/>
    <w:rsid w:val="00BE14E3"/>
    <w:pPr>
      <w:pBdr>
        <w:top w:val="thinThickLargeGap" w:sz="36" w:space="9" w:color="1E5F9F" w:themeColor="accent1"/>
        <w:bottom w:val="thinThickLargeGap" w:sz="36" w:space="9" w:color="1E5F9F" w:themeColor="accent1"/>
      </w:pBdr>
      <w:spacing w:before="600" w:after="600" w:line="288" w:lineRule="auto"/>
      <w:ind w:left="360" w:right="360"/>
    </w:pPr>
    <w:rPr>
      <w:i/>
      <w:color w:val="262626" w:themeColor="text1" w:themeTint="D9"/>
      <w:spacing w:val="8"/>
      <w:sz w:val="24"/>
    </w:rPr>
  </w:style>
  <w:style w:type="character" w:customStyle="1" w:styleId="QuoteChar">
    <w:name w:val="Quote Char"/>
    <w:basedOn w:val="DefaultParagraphFont"/>
    <w:link w:val="Quote"/>
    <w:uiPriority w:val="20"/>
    <w:rsid w:val="00BE14E3"/>
    <w:rPr>
      <w:i/>
      <w:color w:val="262626" w:themeColor="text1" w:themeTint="D9"/>
      <w:spacing w:val="8"/>
      <w:sz w:val="24"/>
    </w:rPr>
  </w:style>
  <w:style w:type="paragraph" w:styleId="TOCHeading">
    <w:name w:val="TOC Heading"/>
    <w:basedOn w:val="Heading1"/>
    <w:next w:val="Normal"/>
    <w:uiPriority w:val="39"/>
    <w:unhideWhenUsed/>
    <w:qFormat/>
    <w:rsid w:val="00FD16A4"/>
    <w:pPr>
      <w:spacing w:before="960"/>
      <w:outlineLvl w:val="9"/>
    </w:pPr>
    <w:rPr>
      <w:rFonts w:asciiTheme="majorHAnsi" w:hAnsiTheme="majorHAnsi" w:cstheme="majorBidi"/>
      <w:noProof w:val="0"/>
      <w:color w:val="164676" w:themeColor="accent1" w:themeShade="BF"/>
      <w:sz w:val="48"/>
      <w:szCs w:val="32"/>
    </w:rPr>
  </w:style>
  <w:style w:type="paragraph" w:styleId="TOC1">
    <w:name w:val="toc 1"/>
    <w:basedOn w:val="Normal"/>
    <w:next w:val="Normal"/>
    <w:autoRedefine/>
    <w:uiPriority w:val="39"/>
    <w:unhideWhenUsed/>
    <w:rsid w:val="00736A89"/>
    <w:pPr>
      <w:tabs>
        <w:tab w:val="right" w:leader="dot" w:pos="9350"/>
      </w:tabs>
      <w:spacing w:before="160" w:after="80"/>
    </w:pPr>
    <w:rPr>
      <w:b/>
      <w:noProof/>
    </w:rPr>
  </w:style>
  <w:style w:type="paragraph" w:styleId="TOC2">
    <w:name w:val="toc 2"/>
    <w:basedOn w:val="Normal"/>
    <w:next w:val="Normal"/>
    <w:autoRedefine/>
    <w:uiPriority w:val="39"/>
    <w:unhideWhenUsed/>
    <w:rsid w:val="00736A89"/>
    <w:pPr>
      <w:spacing w:after="100"/>
      <w:ind w:left="220"/>
    </w:pPr>
  </w:style>
  <w:style w:type="paragraph" w:styleId="TOC3">
    <w:name w:val="toc 3"/>
    <w:basedOn w:val="Normal"/>
    <w:next w:val="Normal"/>
    <w:autoRedefine/>
    <w:uiPriority w:val="39"/>
    <w:unhideWhenUsed/>
    <w:rsid w:val="00736A89"/>
    <w:pPr>
      <w:spacing w:after="100"/>
      <w:ind w:left="440"/>
    </w:pPr>
  </w:style>
  <w:style w:type="paragraph" w:customStyle="1" w:styleId="DateClient">
    <w:name w:val="Date+Client"/>
    <w:basedOn w:val="Normal"/>
    <w:link w:val="DateClientChar"/>
    <w:uiPriority w:val="5"/>
    <w:qFormat/>
    <w:rsid w:val="00F76929"/>
    <w:pPr>
      <w:pBdr>
        <w:top w:val="single" w:sz="24" w:space="5" w:color="1E5F9F" w:themeColor="accent1"/>
      </w:pBdr>
      <w:spacing w:before="4000" w:line="360" w:lineRule="auto"/>
      <w:ind w:left="2160"/>
      <w:contextualSpacing/>
    </w:pPr>
    <w:rPr>
      <w:sz w:val="36"/>
    </w:rPr>
  </w:style>
  <w:style w:type="character" w:customStyle="1" w:styleId="DateClientChar">
    <w:name w:val="Date+Client Char"/>
    <w:basedOn w:val="DefaultParagraphFont"/>
    <w:link w:val="DateClient"/>
    <w:uiPriority w:val="5"/>
    <w:rsid w:val="00EC6668"/>
    <w:rPr>
      <w:sz w:val="36"/>
    </w:rPr>
  </w:style>
  <w:style w:type="paragraph" w:styleId="NoSpacing">
    <w:name w:val="No Spacing"/>
    <w:link w:val="NoSpacingChar"/>
    <w:uiPriority w:val="1"/>
    <w:qFormat/>
    <w:rsid w:val="00273C3C"/>
    <w:pPr>
      <w:spacing w:after="0" w:line="240" w:lineRule="auto"/>
    </w:pPr>
    <w:rPr>
      <w:sz w:val="21"/>
    </w:rPr>
  </w:style>
  <w:style w:type="character" w:customStyle="1" w:styleId="NoSpacingChar">
    <w:name w:val="No Spacing Char"/>
    <w:basedOn w:val="DefaultParagraphFont"/>
    <w:link w:val="NoSpacing"/>
    <w:uiPriority w:val="1"/>
    <w:rsid w:val="00273C3C"/>
    <w:rPr>
      <w:sz w:val="21"/>
    </w:rPr>
  </w:style>
  <w:style w:type="paragraph" w:styleId="NormalWeb">
    <w:name w:val="Normal (Web)"/>
    <w:basedOn w:val="Normal"/>
    <w:uiPriority w:val="99"/>
    <w:semiHidden/>
    <w:unhideWhenUsed/>
    <w:rsid w:val="007F56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6071A"/>
  </w:style>
  <w:style w:type="paragraph" w:customStyle="1" w:styleId="paragraph">
    <w:name w:val="paragraph"/>
    <w:basedOn w:val="Normal"/>
    <w:rsid w:val="00C945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C94520"/>
  </w:style>
  <w:style w:type="character" w:customStyle="1" w:styleId="spellingerror">
    <w:name w:val="spellingerror"/>
    <w:basedOn w:val="DefaultParagraphFont"/>
    <w:rsid w:val="00C94520"/>
  </w:style>
  <w:style w:type="paragraph" w:customStyle="1" w:styleId="bullet2">
    <w:name w:val="bullet 2"/>
    <w:basedOn w:val="ListParagraph"/>
    <w:qFormat/>
    <w:rsid w:val="00517D2F"/>
    <w:pPr>
      <w:numPr>
        <w:ilvl w:val="1"/>
      </w:numPr>
      <w:spacing w:after="0" w:line="240" w:lineRule="auto"/>
    </w:pPr>
  </w:style>
  <w:style w:type="paragraph" w:styleId="Title">
    <w:name w:val="Title"/>
    <w:basedOn w:val="Normal"/>
    <w:next w:val="Normal"/>
    <w:link w:val="TitleChar"/>
    <w:uiPriority w:val="10"/>
    <w:qFormat/>
    <w:rsid w:val="008741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4112"/>
    <w:rPr>
      <w:rFonts w:asciiTheme="majorHAnsi" w:eastAsiaTheme="majorEastAsia" w:hAnsiTheme="majorHAnsi" w:cstheme="majorBidi"/>
      <w:spacing w:val="-10"/>
      <w:kern w:val="28"/>
      <w:sz w:val="56"/>
      <w:szCs w:val="56"/>
    </w:rPr>
  </w:style>
  <w:style w:type="table" w:styleId="TableGridLight">
    <w:name w:val="Grid Table Light"/>
    <w:basedOn w:val="TableNormal"/>
    <w:uiPriority w:val="40"/>
    <w:rsid w:val="0087411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2E7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3678">
      <w:bodyDiv w:val="1"/>
      <w:marLeft w:val="0"/>
      <w:marRight w:val="0"/>
      <w:marTop w:val="0"/>
      <w:marBottom w:val="0"/>
      <w:divBdr>
        <w:top w:val="none" w:sz="0" w:space="0" w:color="auto"/>
        <w:left w:val="none" w:sz="0" w:space="0" w:color="auto"/>
        <w:bottom w:val="none" w:sz="0" w:space="0" w:color="auto"/>
        <w:right w:val="none" w:sz="0" w:space="0" w:color="auto"/>
      </w:divBdr>
    </w:div>
    <w:div w:id="233393064">
      <w:bodyDiv w:val="1"/>
      <w:marLeft w:val="0"/>
      <w:marRight w:val="0"/>
      <w:marTop w:val="0"/>
      <w:marBottom w:val="0"/>
      <w:divBdr>
        <w:top w:val="none" w:sz="0" w:space="0" w:color="auto"/>
        <w:left w:val="none" w:sz="0" w:space="0" w:color="auto"/>
        <w:bottom w:val="none" w:sz="0" w:space="0" w:color="auto"/>
        <w:right w:val="none" w:sz="0" w:space="0" w:color="auto"/>
      </w:divBdr>
    </w:div>
    <w:div w:id="955529251">
      <w:bodyDiv w:val="1"/>
      <w:marLeft w:val="0"/>
      <w:marRight w:val="0"/>
      <w:marTop w:val="0"/>
      <w:marBottom w:val="0"/>
      <w:divBdr>
        <w:top w:val="none" w:sz="0" w:space="0" w:color="auto"/>
        <w:left w:val="none" w:sz="0" w:space="0" w:color="auto"/>
        <w:bottom w:val="none" w:sz="0" w:space="0" w:color="auto"/>
        <w:right w:val="none" w:sz="0" w:space="0" w:color="auto"/>
      </w:divBdr>
    </w:div>
    <w:div w:id="1252396945">
      <w:bodyDiv w:val="1"/>
      <w:marLeft w:val="0"/>
      <w:marRight w:val="0"/>
      <w:marTop w:val="0"/>
      <w:marBottom w:val="0"/>
      <w:divBdr>
        <w:top w:val="none" w:sz="0" w:space="0" w:color="auto"/>
        <w:left w:val="none" w:sz="0" w:space="0" w:color="auto"/>
        <w:bottom w:val="none" w:sz="0" w:space="0" w:color="auto"/>
        <w:right w:val="none" w:sz="0" w:space="0" w:color="auto"/>
      </w:divBdr>
      <w:divsChild>
        <w:div w:id="2139840267">
          <w:marLeft w:val="1166"/>
          <w:marRight w:val="0"/>
          <w:marTop w:val="0"/>
          <w:marBottom w:val="0"/>
          <w:divBdr>
            <w:top w:val="none" w:sz="0" w:space="0" w:color="auto"/>
            <w:left w:val="none" w:sz="0" w:space="0" w:color="auto"/>
            <w:bottom w:val="none" w:sz="0" w:space="0" w:color="auto"/>
            <w:right w:val="none" w:sz="0" w:space="0" w:color="auto"/>
          </w:divBdr>
        </w:div>
        <w:div w:id="2122990337">
          <w:marLeft w:val="1166"/>
          <w:marRight w:val="0"/>
          <w:marTop w:val="0"/>
          <w:marBottom w:val="0"/>
          <w:divBdr>
            <w:top w:val="none" w:sz="0" w:space="0" w:color="auto"/>
            <w:left w:val="none" w:sz="0" w:space="0" w:color="auto"/>
            <w:bottom w:val="none" w:sz="0" w:space="0" w:color="auto"/>
            <w:right w:val="none" w:sz="0" w:space="0" w:color="auto"/>
          </w:divBdr>
        </w:div>
        <w:div w:id="1263535787">
          <w:marLeft w:val="1166"/>
          <w:marRight w:val="0"/>
          <w:marTop w:val="0"/>
          <w:marBottom w:val="160"/>
          <w:divBdr>
            <w:top w:val="none" w:sz="0" w:space="0" w:color="auto"/>
            <w:left w:val="none" w:sz="0" w:space="0" w:color="auto"/>
            <w:bottom w:val="none" w:sz="0" w:space="0" w:color="auto"/>
            <w:right w:val="none" w:sz="0" w:space="0" w:color="auto"/>
          </w:divBdr>
        </w:div>
      </w:divsChild>
    </w:div>
    <w:div w:id="144234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eta.gov/grants/pdf/2018_Core_Monitoring_Guide.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rantsapplicationandmanagement.workforcegps.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cfr.gov/cgi-bin/retrieveECFR?gp=1&amp;SID=d1765c8da6462cdf310a8684f3eb9333&amp;ty=HTML&amp;h=L&amp;mc=true&amp;r=PART&amp;n=pt2.1.29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applicationandmanagement.workforcegps.org/resources/2019/05/22/03/20/Framework_for_Monitoring_Oversight" TargetMode="External"/><Relationship Id="rId5" Type="http://schemas.openxmlformats.org/officeDocument/2006/relationships/numbering" Target="numbering.xml"/><Relationship Id="rId15" Type="http://schemas.openxmlformats.org/officeDocument/2006/relationships/hyperlink" Target="https://www.ecfr.gov/cgi-bin/text-idx?tpl=/ecfrbrowse/Title02/2cfr200_main_02.tp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po.gov/fdsys/pkg/FR-2016-08-19/pdf/2016-1597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RM Monitoring">
      <a:dk1>
        <a:sysClr val="windowText" lastClr="000000"/>
      </a:dk1>
      <a:lt1>
        <a:sysClr val="window" lastClr="FFFFFF"/>
      </a:lt1>
      <a:dk2>
        <a:srgbClr val="242852"/>
      </a:dk2>
      <a:lt2>
        <a:srgbClr val="ABD5FB"/>
      </a:lt2>
      <a:accent1>
        <a:srgbClr val="1E5F9F"/>
      </a:accent1>
      <a:accent2>
        <a:srgbClr val="224F76"/>
      </a:accent2>
      <a:accent3>
        <a:srgbClr val="297FD5"/>
      </a:accent3>
      <a:accent4>
        <a:srgbClr val="596984"/>
      </a:accent4>
      <a:accent5>
        <a:srgbClr val="0F7BB1"/>
      </a:accent5>
      <a:accent6>
        <a:srgbClr val="9D90A0"/>
      </a:accent6>
      <a:hlink>
        <a:srgbClr val="1E5F9F"/>
      </a:hlink>
      <a:folHlink>
        <a:srgbClr val="3B4658"/>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heryl_x0020_Approved_x0020_yet_x003f_ xmlns="a165619d-62ea-4494-9933-e5d4636ba862">false</Cheryl_x0020_Approved_x0020_yet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0A4C17F8893B419ED8287CDE59D507" ma:contentTypeVersion="9" ma:contentTypeDescription="Create a new document." ma:contentTypeScope="" ma:versionID="ec74fbbe7aee2b64199bafa7f1958903">
  <xsd:schema xmlns:xsd="http://www.w3.org/2001/XMLSchema" xmlns:xs="http://www.w3.org/2001/XMLSchema" xmlns:p="http://schemas.microsoft.com/office/2006/metadata/properties" xmlns:ns2="a165619d-62ea-4494-9933-e5d4636ba862" targetNamespace="http://schemas.microsoft.com/office/2006/metadata/properties" ma:root="true" ma:fieldsID="4f29ff4055ca3eec37727ee92f5e476e" ns2:_="">
    <xsd:import namespace="a165619d-62ea-4494-9933-e5d4636ba8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Cheryl_x0020_Approved_x0020_yet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5619d-62ea-4494-9933-e5d4636ba86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Cheryl_x0020_Approved_x0020_yet_x003f_" ma:index="16" nillable="true" ma:displayName="Cheryl Approved yet?" ma:default="0" ma:format="Dropdown" ma:internalName="Cheryl_x0020_Approved_x0020_yet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DA69D-0869-497D-B2AD-6CC90C6231DC}">
  <ds:schemaRefs>
    <ds:schemaRef ds:uri="http://schemas.microsoft.com/office/2006/metadata/properties"/>
    <ds:schemaRef ds:uri="http://schemas.microsoft.com/office/infopath/2007/PartnerControls"/>
    <ds:schemaRef ds:uri="a165619d-62ea-4494-9933-e5d4636ba862"/>
  </ds:schemaRefs>
</ds:datastoreItem>
</file>

<file path=customXml/itemProps2.xml><?xml version="1.0" encoding="utf-8"?>
<ds:datastoreItem xmlns:ds="http://schemas.openxmlformats.org/officeDocument/2006/customXml" ds:itemID="{164D9538-508C-4290-8B6E-9338CAA25C15}">
  <ds:schemaRefs>
    <ds:schemaRef ds:uri="http://schemas.microsoft.com/sharepoint/v3/contenttype/forms"/>
  </ds:schemaRefs>
</ds:datastoreItem>
</file>

<file path=customXml/itemProps3.xml><?xml version="1.0" encoding="utf-8"?>
<ds:datastoreItem xmlns:ds="http://schemas.openxmlformats.org/officeDocument/2006/customXml" ds:itemID="{850ACDD2-8912-4F65-8D87-53D858E77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5619d-62ea-4494-9933-e5d4636ba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4A889A-E230-4253-95DD-829703E6D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ORM Job Shadowing Framework</vt:lpstr>
    </vt:vector>
  </TitlesOfParts>
  <Manager/>
  <Company>Office of Regional Management</Company>
  <LinksUpToDate>false</LinksUpToDate>
  <CharactersWithSpaces>12660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ORM Job Shadowing Framework</dc:title>
  <dc:subject>A Technical Assistance Document to guide the onboarding of new state grant monitors.</dc:subject>
  <dc:creator>auto@mahernet.com</dc:creator>
  <cp:keywords>"Job Shadow" "New Hire" observe, monitoring, framework, ORM, subrecipients, grants, tools, improvement, compliance, grantee</cp:keywords>
  <dc:description/>
  <cp:lastModifiedBy>Jen Pirtle</cp:lastModifiedBy>
  <cp:revision>4</cp:revision>
  <cp:lastPrinted>2019-05-08T14:11:00Z</cp:lastPrinted>
  <dcterms:created xsi:type="dcterms:W3CDTF">2019-06-03T13:34:00Z</dcterms:created>
  <dcterms:modified xsi:type="dcterms:W3CDTF">2019-06-03T13:44:00Z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0x010100D20A4C17F8893B419ED8287CDE59D507</vt:lpwstr>
  </property>
</Properties>
</file>