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74" w:rsidRPr="00434E44" w:rsidRDefault="00C13BF2" w:rsidP="00434E44">
      <w:pPr>
        <w:spacing w:after="0" w:line="360" w:lineRule="auto"/>
        <w:rPr>
          <w:rFonts w:cstheme="minorHAnsi"/>
          <w:b/>
        </w:rPr>
      </w:pPr>
      <w:bookmarkStart w:id="0" w:name="_GoBack"/>
      <w:bookmarkEnd w:id="0"/>
      <w:r w:rsidRPr="00434E44">
        <w:rPr>
          <w:rFonts w:cstheme="minorHAnsi"/>
          <w:b/>
        </w:rPr>
        <w:t>Slide 1</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Hello.</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Thank you for attending the Trade Adjustment Assistance Resources Webcast.  </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In this webcast, we’ll navigate you through both the US Department of Labor Trade Adjustment Assistance (TAA) Program website and the TAA Community on WorkforceGPS.</w:t>
      </w:r>
    </w:p>
    <w:p w:rsidR="00434E44" w:rsidRPr="00434E44" w:rsidRDefault="00434E44" w:rsidP="00434E44">
      <w:pPr>
        <w:spacing w:after="0" w:line="360" w:lineRule="auto"/>
        <w:rPr>
          <w:rFonts w:cstheme="minorHAnsi"/>
          <w:b/>
        </w:rPr>
      </w:pPr>
    </w:p>
    <w:p w:rsidR="00C13BF2" w:rsidRPr="00434E44" w:rsidRDefault="00C13BF2" w:rsidP="00434E44">
      <w:pPr>
        <w:spacing w:after="0" w:line="360" w:lineRule="auto"/>
        <w:rPr>
          <w:rFonts w:cstheme="minorHAnsi"/>
          <w:b/>
        </w:rPr>
      </w:pPr>
      <w:r w:rsidRPr="00434E44">
        <w:rPr>
          <w:rFonts w:cstheme="minorHAnsi"/>
          <w:b/>
        </w:rPr>
        <w:t>Slide 2</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We are Susan Manikowski and Robert Hoekstra, Program Analysts in the Office of Trade Adjustment Assistance (OTAA).</w:t>
      </w:r>
    </w:p>
    <w:p w:rsidR="002A7ACE" w:rsidRPr="00434E44" w:rsidRDefault="002A7ACE"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3</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Let’s go through the structure of this webcast.</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4</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It is organized by audience, though the first section is applicable to all: Who to contact.</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After that, each section is designed to give that audience a guide on where to find resources applicable to them.  Watching the whole webcast will have repeated information, so we encourage you to jump forward to the section most applicable to you.  The audiences are workers, company officials, government stakeholders, researchers, and TAA partners – which we break down further.</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5</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These TAA Partners are Rapid Response and Petition Coordinators, State TAA Coordinators, Case Managers, and State Reporting Staff.</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6</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This is the US Department of Labor (DOL) webpage.  Most of the resources discussed in this webcast appear here.  </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left hand navigation will help you through the TAA-specific pages.  We’ll describe each of these in more detail.</w:t>
      </w:r>
    </w:p>
    <w:p w:rsidR="00C13BF2" w:rsidRPr="00434E44" w:rsidRDefault="00C13BF2" w:rsidP="00434E44">
      <w:pPr>
        <w:autoSpaceDE w:val="0"/>
        <w:autoSpaceDN w:val="0"/>
        <w:adjustRightInd w:val="0"/>
        <w:spacing w:after="0" w:line="240" w:lineRule="auto"/>
        <w:rPr>
          <w:rFonts w:cstheme="minorHAnsi"/>
          <w:kern w:val="24"/>
        </w:rPr>
      </w:pP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top, blue navigation is to other DOL, Employment and Training Administration (ETA) programs and information.</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7</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This is the homepage to the TAA Community on WorkforceGPS, which provides focused content for practitioners.</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Note that to post comments or to register for any event, you will need to Log In as a WorkforceGPS member.</w:t>
      </w:r>
    </w:p>
    <w:p w:rsidR="00C13BF2" w:rsidRPr="00434E44" w:rsidRDefault="00C13BF2" w:rsidP="00434E44">
      <w:pPr>
        <w:autoSpaceDE w:val="0"/>
        <w:autoSpaceDN w:val="0"/>
        <w:adjustRightInd w:val="0"/>
        <w:spacing w:after="0" w:line="240" w:lineRule="auto"/>
        <w:rPr>
          <w:rFonts w:cstheme="minorHAnsi"/>
          <w:kern w:val="24"/>
        </w:rPr>
      </w:pP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TAA Community is just one of many on WorkforceGPS, and you may be interested in other ETA communities.</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8</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We’ve also prepared an index of resources.  It and this webcast are found on the home page of the US DOL site.  Use this index for direct links to resources both on the DOL and WorkforceGPS pages.  We will update it as we add new resources and information.</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9</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There are times when you will need to contact someone for individualized needs.  This section outlines how to find the right contact.</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10</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The DOL page has a “Contact Us” section.  </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first we’ll discuss is the link to the American Job Centers at the bottom of this main “Contact Us” page.</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11</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American Job Centers (or AJCs) are on a site external to DOL, careeronestop.org.  These centers can assist workers in finding services. </w:t>
      </w:r>
    </w:p>
    <w:p w:rsidR="00C13BF2" w:rsidRPr="00434E44" w:rsidRDefault="00C13BF2" w:rsidP="00434E44">
      <w:pPr>
        <w:autoSpaceDE w:val="0"/>
        <w:autoSpaceDN w:val="0"/>
        <w:adjustRightInd w:val="0"/>
        <w:spacing w:after="0" w:line="240" w:lineRule="auto"/>
        <w:rPr>
          <w:rFonts w:cstheme="minorHAnsi"/>
          <w:kern w:val="24"/>
        </w:rPr>
      </w:pP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Add your location into this search box to find the nearest AJC.</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12</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You may also be interested in contacting the national office to get information about petition filing, general questions, or for help finding resources.</w:t>
      </w:r>
    </w:p>
    <w:p w:rsidR="00C13BF2" w:rsidRDefault="00C13BF2" w:rsidP="00434E44">
      <w:pPr>
        <w:autoSpaceDE w:val="0"/>
        <w:autoSpaceDN w:val="0"/>
        <w:adjustRightInd w:val="0"/>
        <w:spacing w:after="0" w:line="240" w:lineRule="auto"/>
        <w:rPr>
          <w:rFonts w:cstheme="minorHAnsi"/>
          <w:kern w:val="24"/>
        </w:rPr>
      </w:pPr>
      <w:r w:rsidRPr="00434E44">
        <w:rPr>
          <w:rFonts w:cstheme="minorHAnsi"/>
          <w:kern w:val="24"/>
        </w:rPr>
        <w:t>That is here as a “Contact Us” subsection.  There is a hotline number and you are always welcome to email us.</w:t>
      </w:r>
    </w:p>
    <w:p w:rsidR="008C1AE0" w:rsidRPr="00434E44" w:rsidRDefault="008C1AE0" w:rsidP="00434E44">
      <w:pPr>
        <w:autoSpaceDE w:val="0"/>
        <w:autoSpaceDN w:val="0"/>
        <w:adjustRightInd w:val="0"/>
        <w:spacing w:after="0" w:line="240" w:lineRule="auto"/>
        <w:rPr>
          <w:rFonts w:cstheme="minorHAnsi"/>
          <w:kern w:val="24"/>
        </w:rPr>
      </w:pPr>
    </w:p>
    <w:p w:rsidR="00C13BF2" w:rsidRPr="00434E44" w:rsidRDefault="00C13BF2" w:rsidP="00434E44">
      <w:pPr>
        <w:spacing w:after="0" w:line="360" w:lineRule="auto"/>
        <w:rPr>
          <w:rFonts w:cstheme="minorHAnsi"/>
          <w:b/>
        </w:rPr>
      </w:pPr>
      <w:r w:rsidRPr="00434E44">
        <w:rPr>
          <w:rFonts w:cstheme="minorHAnsi"/>
          <w:b/>
        </w:rPr>
        <w:t>Slide 13</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State Contacts are very useful for when you need to reach out to a state directly.  If you have a question about individual benefits or services, you will need to contact the state.  Most states have a website as well with additional information.  Select the state on the map to be directed to their contact information.</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14</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The Contact Us section also links to the USDOL ETA Regional Offices.  These offices monitor the work of the states. </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15</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If you are a trade-affected worker, you may be interested in learning about the petition process and the benefits and services available in the TAA Program.</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16</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TAA Program can only serve participants who are part of a certified worker group.  This process starts with a petition being filed by or on behalf of the worker group.</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The link to the online petition is here on the homepage.  </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17</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“Petitioners” section of the website provides helpful information such as describing the petition process, providing filing instructions, listing recent decisions, and frequently asked questions about petition filing.  We also provide links here to the online petition and the petition in downloadable formats in English and Spanish.</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18</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If you do select the online petition, it will take you the page that looks like this.  If you supply an email address in this form, you’ll receive a copy of the petition you submit.</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19</w:t>
      </w:r>
    </w:p>
    <w:p w:rsidR="00E74AF8" w:rsidRPr="00E74AF8" w:rsidRDefault="00E74AF8" w:rsidP="00E74AF8">
      <w:pPr>
        <w:autoSpaceDE w:val="0"/>
        <w:autoSpaceDN w:val="0"/>
        <w:adjustRightInd w:val="0"/>
        <w:spacing w:after="0" w:line="240" w:lineRule="auto"/>
        <w:rPr>
          <w:rFonts w:cstheme="minorHAnsi"/>
          <w:kern w:val="24"/>
        </w:rPr>
      </w:pPr>
      <w:r w:rsidRPr="00E74AF8">
        <w:rPr>
          <w:rFonts w:cstheme="minorHAnsi"/>
          <w:kern w:val="24"/>
        </w:rPr>
        <w:t xml:space="preserve">American Job Centers (or AJCs) are on a site external to DOL, careeronestop.org.  These centers can assist workers in finding services. </w:t>
      </w:r>
    </w:p>
    <w:p w:rsidR="00E74AF8" w:rsidRPr="00E74AF8" w:rsidRDefault="00E74AF8" w:rsidP="00E74AF8">
      <w:pPr>
        <w:autoSpaceDE w:val="0"/>
        <w:autoSpaceDN w:val="0"/>
        <w:adjustRightInd w:val="0"/>
        <w:spacing w:after="0" w:line="240" w:lineRule="auto"/>
        <w:rPr>
          <w:rFonts w:cstheme="minorHAnsi"/>
          <w:kern w:val="24"/>
        </w:rPr>
      </w:pPr>
      <w:r w:rsidRPr="00E74AF8">
        <w:rPr>
          <w:rFonts w:cstheme="minorHAnsi"/>
          <w:kern w:val="24"/>
        </w:rPr>
        <w:t>Add your location into this search box to find the nearest AJC.</w:t>
      </w:r>
    </w:p>
    <w:p w:rsidR="004C06AC" w:rsidRPr="00434E44" w:rsidRDefault="004C06AC"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20</w:t>
      </w:r>
    </w:p>
    <w:p w:rsidR="004C06AC" w:rsidRDefault="00E74AF8" w:rsidP="00BB2B01">
      <w:pPr>
        <w:autoSpaceDE w:val="0"/>
        <w:autoSpaceDN w:val="0"/>
        <w:adjustRightInd w:val="0"/>
        <w:spacing w:after="0" w:line="240" w:lineRule="auto"/>
        <w:rPr>
          <w:rFonts w:cstheme="minorHAnsi"/>
          <w:kern w:val="24"/>
        </w:rPr>
      </w:pPr>
      <w:r w:rsidRPr="00E74AF8">
        <w:rPr>
          <w:rFonts w:cstheme="minorHAnsi"/>
          <w:kern w:val="24"/>
        </w:rPr>
        <w:t>State Contacts are very useful for when you need to reach out to a state directly.  If you have a question about individual benefits or services, you will need to contact the state.  Most states have a website as well with additional information.  Select the state on the map to be directed to their contact information.</w:t>
      </w:r>
    </w:p>
    <w:p w:rsidR="00BB2B01" w:rsidRPr="00E74AF8" w:rsidRDefault="00BB2B01" w:rsidP="00BB2B01">
      <w:pPr>
        <w:autoSpaceDE w:val="0"/>
        <w:autoSpaceDN w:val="0"/>
        <w:adjustRightInd w:val="0"/>
        <w:spacing w:after="0" w:line="240" w:lineRule="auto"/>
        <w:rPr>
          <w:rFonts w:cstheme="minorHAnsi"/>
          <w:kern w:val="24"/>
        </w:rPr>
      </w:pPr>
    </w:p>
    <w:p w:rsidR="00C13BF2" w:rsidRPr="00434E44" w:rsidRDefault="00C13BF2" w:rsidP="00434E44">
      <w:pPr>
        <w:spacing w:after="0" w:line="360" w:lineRule="auto"/>
        <w:rPr>
          <w:rFonts w:cstheme="minorHAnsi"/>
          <w:b/>
        </w:rPr>
      </w:pPr>
      <w:r w:rsidRPr="00434E44">
        <w:rPr>
          <w:rFonts w:cstheme="minorHAnsi"/>
          <w:b/>
        </w:rPr>
        <w:t>Slide 21</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A review of the Benefits and Services page is available as its own section.  Here, you can find information about what benefits and services are provided by the TAA Program based on each version of the program, although the most recent version will be applicable to most people.  You can also see a comparison between the various program versions.</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22</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You may also be interested in learning if a decision has been made on the petition.  Here </w:t>
      </w:r>
      <w:r w:rsidR="006E2472">
        <w:rPr>
          <w:rFonts w:cstheme="minorHAnsi"/>
          <w:kern w:val="24"/>
        </w:rPr>
        <w:t>near</w:t>
      </w:r>
      <w:r w:rsidRPr="00434E44">
        <w:rPr>
          <w:rFonts w:cstheme="minorHAnsi"/>
          <w:kern w:val="24"/>
        </w:rPr>
        <w:t xml:space="preserve"> the bottom of the home page is a button “Search Petitions.”</w:t>
      </w:r>
    </w:p>
    <w:p w:rsidR="00C13BF2" w:rsidRPr="00434E44" w:rsidRDefault="00C13BF2" w:rsidP="00434E44">
      <w:pPr>
        <w:spacing w:after="0"/>
        <w:rPr>
          <w:rFonts w:cstheme="minorHAnsi"/>
        </w:rPr>
      </w:pPr>
    </w:p>
    <w:p w:rsidR="00BB2B01" w:rsidRDefault="00BB2B01">
      <w:pPr>
        <w:rPr>
          <w:rFonts w:cstheme="minorHAnsi"/>
          <w:b/>
        </w:rPr>
      </w:pPr>
      <w:r>
        <w:rPr>
          <w:rFonts w:cstheme="minorHAnsi"/>
          <w:b/>
        </w:rPr>
        <w:br w:type="page"/>
      </w:r>
    </w:p>
    <w:p w:rsidR="00C13BF2" w:rsidRPr="00434E44" w:rsidRDefault="00C13BF2" w:rsidP="00434E44">
      <w:pPr>
        <w:spacing w:after="0" w:line="360" w:lineRule="auto"/>
        <w:rPr>
          <w:rFonts w:cstheme="minorHAnsi"/>
          <w:b/>
        </w:rPr>
      </w:pPr>
      <w:r w:rsidRPr="00434E44">
        <w:rPr>
          <w:rFonts w:cstheme="minorHAnsi"/>
          <w:b/>
        </w:rPr>
        <w:lastRenderedPageBreak/>
        <w:t>Slide 23</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Once you select “Search Petitions,” you will see a set of search options:</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Search by Petition Number, which is just the number assigned to that investigation.</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Search by Company Name or</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Advanced Search which includes searching by dates or locations.</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24</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To read about TAA Participants and their journeys in the TAA Program, take a look at the Success Stories section.</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25</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If you have additional questions about resources or navigating the applicable webpages, please reach out to us at the information provided here.</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26</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If you are a company official, resources in this section are applicable to you.</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27</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The company </w:t>
      </w:r>
      <w:proofErr w:type="gramStart"/>
      <w:r w:rsidRPr="00434E44">
        <w:rPr>
          <w:rFonts w:cstheme="minorHAnsi"/>
          <w:kern w:val="24"/>
        </w:rPr>
        <w:t>officials</w:t>
      </w:r>
      <w:proofErr w:type="gramEnd"/>
      <w:r w:rsidRPr="00434E44">
        <w:rPr>
          <w:rFonts w:cstheme="minorHAnsi"/>
          <w:kern w:val="24"/>
        </w:rPr>
        <w:t xml:space="preserve"> page is designed to provide most of what a company official might need in one place.</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This includes a 6-minute overview video which briefly explains the program and the investigation process.</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28</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Also on the company </w:t>
      </w:r>
      <w:proofErr w:type="gramStart"/>
      <w:r w:rsidRPr="00434E44">
        <w:rPr>
          <w:rFonts w:cstheme="minorHAnsi"/>
          <w:kern w:val="24"/>
        </w:rPr>
        <w:t>officials</w:t>
      </w:r>
      <w:proofErr w:type="gramEnd"/>
      <w:r w:rsidRPr="00434E44">
        <w:rPr>
          <w:rFonts w:cstheme="minorHAnsi"/>
          <w:kern w:val="24"/>
        </w:rPr>
        <w:t xml:space="preserve"> page are links to the petition, sample materials, and information on commonly requested information.</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29</w:t>
      </w:r>
    </w:p>
    <w:p w:rsidR="00E74AF8" w:rsidRPr="00E74AF8" w:rsidRDefault="00E74AF8" w:rsidP="00E74AF8">
      <w:pPr>
        <w:spacing w:after="0"/>
        <w:rPr>
          <w:rFonts w:cstheme="minorHAnsi"/>
          <w:kern w:val="24"/>
        </w:rPr>
      </w:pPr>
      <w:r w:rsidRPr="00E74AF8">
        <w:rPr>
          <w:rFonts w:cstheme="minorHAnsi"/>
          <w:kern w:val="24"/>
        </w:rPr>
        <w:t xml:space="preserve">You may also be interested in learning if a decision has been made on the petition.  Here </w:t>
      </w:r>
      <w:r w:rsidR="006E2472">
        <w:rPr>
          <w:rFonts w:cstheme="minorHAnsi"/>
          <w:kern w:val="24"/>
        </w:rPr>
        <w:t>near</w:t>
      </w:r>
      <w:r w:rsidRPr="00E74AF8">
        <w:rPr>
          <w:rFonts w:cstheme="minorHAnsi"/>
          <w:kern w:val="24"/>
        </w:rPr>
        <w:t xml:space="preserve"> the bottom of the home page is a button “Search Petitions.”</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30</w:t>
      </w:r>
    </w:p>
    <w:p w:rsidR="00E74AF8" w:rsidRPr="00E74AF8" w:rsidRDefault="00E74AF8" w:rsidP="00E74AF8">
      <w:pPr>
        <w:spacing w:after="0"/>
        <w:rPr>
          <w:rFonts w:cstheme="minorHAnsi"/>
          <w:kern w:val="24"/>
        </w:rPr>
      </w:pPr>
      <w:r w:rsidRPr="00E74AF8">
        <w:rPr>
          <w:rFonts w:cstheme="minorHAnsi"/>
          <w:kern w:val="24"/>
        </w:rPr>
        <w:t>Once you select “Search Petitions,” you will see a set of search options:</w:t>
      </w:r>
    </w:p>
    <w:p w:rsidR="00E74AF8" w:rsidRPr="00E74AF8" w:rsidRDefault="00E74AF8" w:rsidP="00E74AF8">
      <w:pPr>
        <w:spacing w:after="0"/>
        <w:rPr>
          <w:rFonts w:cstheme="minorHAnsi"/>
          <w:kern w:val="24"/>
        </w:rPr>
      </w:pPr>
      <w:r w:rsidRPr="00E74AF8">
        <w:rPr>
          <w:rFonts w:cstheme="minorHAnsi"/>
          <w:kern w:val="24"/>
        </w:rPr>
        <w:t>Search by Petition Number, which is just the number assigned to that investigation.</w:t>
      </w:r>
    </w:p>
    <w:p w:rsidR="00E74AF8" w:rsidRPr="00E74AF8" w:rsidRDefault="00E74AF8" w:rsidP="00E74AF8">
      <w:pPr>
        <w:spacing w:after="0"/>
        <w:rPr>
          <w:rFonts w:cstheme="minorHAnsi"/>
          <w:kern w:val="24"/>
        </w:rPr>
      </w:pPr>
      <w:r w:rsidRPr="00E74AF8">
        <w:rPr>
          <w:rFonts w:cstheme="minorHAnsi"/>
          <w:kern w:val="24"/>
        </w:rPr>
        <w:t>Search by Company Name or</w:t>
      </w:r>
    </w:p>
    <w:p w:rsidR="00E74AF8" w:rsidRPr="00E74AF8" w:rsidRDefault="00E74AF8" w:rsidP="00E74AF8">
      <w:pPr>
        <w:spacing w:after="0"/>
        <w:rPr>
          <w:rFonts w:cstheme="minorHAnsi"/>
          <w:kern w:val="24"/>
        </w:rPr>
      </w:pPr>
      <w:r w:rsidRPr="00E74AF8">
        <w:rPr>
          <w:rFonts w:cstheme="minorHAnsi"/>
          <w:kern w:val="24"/>
        </w:rPr>
        <w:t>Advanced Search which includes searching by dates or locations.</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31</w:t>
      </w:r>
    </w:p>
    <w:p w:rsidR="00EB55DF" w:rsidRPr="00EB55DF" w:rsidRDefault="00EB55DF" w:rsidP="00EB55DF">
      <w:pPr>
        <w:autoSpaceDE w:val="0"/>
        <w:autoSpaceDN w:val="0"/>
        <w:adjustRightInd w:val="0"/>
        <w:spacing w:after="0" w:line="240" w:lineRule="auto"/>
        <w:rPr>
          <w:rFonts w:cstheme="minorHAnsi"/>
          <w:kern w:val="24"/>
        </w:rPr>
      </w:pPr>
      <w:r w:rsidRPr="00EB55DF">
        <w:rPr>
          <w:rFonts w:cstheme="minorHAnsi"/>
          <w:kern w:val="24"/>
        </w:rPr>
        <w:t>If you have additional questions about resources or navigating the applicable webpages, please reach out to us at the information provided here.</w:t>
      </w:r>
    </w:p>
    <w:p w:rsidR="00C13BF2" w:rsidRPr="00434E44" w:rsidRDefault="00C13BF2" w:rsidP="00434E44">
      <w:pPr>
        <w:spacing w:after="0"/>
        <w:rPr>
          <w:rFonts w:cstheme="minorHAnsi"/>
        </w:rPr>
      </w:pPr>
    </w:p>
    <w:p w:rsidR="00BB2B01" w:rsidRDefault="00BB2B01">
      <w:pPr>
        <w:rPr>
          <w:rFonts w:cstheme="minorHAnsi"/>
          <w:b/>
        </w:rPr>
      </w:pPr>
      <w:r>
        <w:rPr>
          <w:rFonts w:cstheme="minorHAnsi"/>
          <w:b/>
        </w:rPr>
        <w:br w:type="page"/>
      </w:r>
    </w:p>
    <w:p w:rsidR="00C13BF2" w:rsidRPr="00434E44" w:rsidRDefault="00C13BF2" w:rsidP="00434E44">
      <w:pPr>
        <w:spacing w:after="0" w:line="360" w:lineRule="auto"/>
        <w:rPr>
          <w:rFonts w:cstheme="minorHAnsi"/>
          <w:b/>
        </w:rPr>
      </w:pPr>
      <w:r w:rsidRPr="00434E44">
        <w:rPr>
          <w:rFonts w:cstheme="minorHAnsi"/>
          <w:b/>
        </w:rPr>
        <w:lastRenderedPageBreak/>
        <w:t>Slide 32</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The materials in this section may be of interest to government stakeholders.  These may include those who work for Congress or those who work at the state-level.  </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33</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Each year, a report of the TAA Program is submitted to Congress.  Each of the annual reports are posted in the “Reports” section of the DOL TAA website.</w:t>
      </w:r>
    </w:p>
    <w:p w:rsidR="00CD7BBE" w:rsidRPr="00434E44" w:rsidRDefault="00CD7BBE"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34</w:t>
      </w:r>
    </w:p>
    <w:p w:rsidR="00B05B73" w:rsidRPr="00B05B73" w:rsidRDefault="00B05B73" w:rsidP="00B05B73">
      <w:pPr>
        <w:autoSpaceDE w:val="0"/>
        <w:autoSpaceDN w:val="0"/>
        <w:adjustRightInd w:val="0"/>
        <w:spacing w:after="0" w:line="240" w:lineRule="auto"/>
        <w:rPr>
          <w:rFonts w:cstheme="minorHAnsi"/>
          <w:kern w:val="24"/>
        </w:rPr>
      </w:pPr>
      <w:r w:rsidRPr="00B05B73">
        <w:rPr>
          <w:rFonts w:cstheme="minorHAnsi"/>
          <w:kern w:val="24"/>
        </w:rPr>
        <w:t>To read about TAA Participants and their journeys in the TAA Program, take a look at the Success Stories section.</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35</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Here on the About Us page, you’ll find links to information such as information on the TAA Administrator, the program brochure, link to program statistics, etc.</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36</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Here is the view of the program statistics. These statistics align with what is reported in the annual reports to Congress.</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Note that this hyperlink will change each fiscal year.</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37</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State fact sheets are helpful, one-page snapshots of the Program in each state and are updated annually along with the annual report.</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38</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Found in the About Us section is About the Administrator.  Learn about the background of the current OTAA Administrator.</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39</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The organizational chart is also available here.  Review the structure of OTAA, including its divisions and size. </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40</w:t>
      </w:r>
    </w:p>
    <w:p w:rsidR="00EB55DF" w:rsidRPr="00EB55DF" w:rsidRDefault="00EB55DF" w:rsidP="00EB55DF">
      <w:pPr>
        <w:spacing w:after="0"/>
        <w:rPr>
          <w:rFonts w:cstheme="minorHAnsi"/>
          <w:kern w:val="24"/>
        </w:rPr>
      </w:pPr>
      <w:r w:rsidRPr="00EB55DF">
        <w:rPr>
          <w:rFonts w:cstheme="minorHAnsi"/>
          <w:kern w:val="24"/>
        </w:rPr>
        <w:t>If you have additional questions about resources or navigating the applicable webpages, please reach out to us at the information provided here.</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41</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As a federal program, TAA is often the subject of research.  If you are doing research on the program, these resources may be useful.</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lastRenderedPageBreak/>
        <w:t>Slide 42</w:t>
      </w:r>
    </w:p>
    <w:p w:rsidR="00EC55F7" w:rsidRPr="00EC55F7" w:rsidRDefault="00EC55F7" w:rsidP="00EC55F7">
      <w:pPr>
        <w:autoSpaceDE w:val="0"/>
        <w:autoSpaceDN w:val="0"/>
        <w:adjustRightInd w:val="0"/>
        <w:spacing w:after="0" w:line="240" w:lineRule="auto"/>
        <w:rPr>
          <w:rFonts w:cstheme="minorHAnsi"/>
          <w:kern w:val="24"/>
        </w:rPr>
      </w:pPr>
      <w:r w:rsidRPr="00EC55F7">
        <w:rPr>
          <w:rFonts w:cstheme="minorHAnsi"/>
          <w:kern w:val="24"/>
        </w:rPr>
        <w:t>Each year, a report of the TAA Program is submitted to Congress.  Each of the annual reports are posted in the “Reports” section of the DOL TAA website.</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43</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Under the “Reports” section of the DOL website, there are 2 subsections.</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first is Section 224 Studies, seen here.  These are reports written by the Department to the President on domestic industries for certain types of International Trade Commission investigations.</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second is Research and Evaluation Reports. These are commissioned by ETA to help guide the workforce investment system in administering effective programs.</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44</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Our petition and determination data is our most requested and utilized.  This page allows that data to be downloaded and provides information on field definitions calculating specific statistics we use in the Program.</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In addition, we have provided a dynamic dashboard that allows you to explore this data.</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45</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The Participants Data </w:t>
      </w:r>
      <w:r w:rsidR="00460CB2">
        <w:rPr>
          <w:rFonts w:cstheme="minorHAnsi"/>
          <w:kern w:val="24"/>
        </w:rPr>
        <w:t xml:space="preserve">section </w:t>
      </w:r>
      <w:r w:rsidRPr="00434E44">
        <w:rPr>
          <w:rFonts w:cstheme="minorHAnsi"/>
          <w:kern w:val="24"/>
        </w:rPr>
        <w:t>provides quarterly participant data analysis and state-level aggregate data.  Annualized statistics can be found on the main data page.</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Please note that we cannot release individual level data, so these state-level aggregates are the best source for understanding TAA participants.</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46</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There is also financial data on the funds we have provided to states to operate the program.  This data is downloadable, but we also have provided a dashboard to help you explore this data.</w:t>
      </w:r>
    </w:p>
    <w:p w:rsidR="00CD7BBE" w:rsidRPr="00434E44" w:rsidRDefault="00CD7BBE" w:rsidP="00434E44">
      <w:pPr>
        <w:spacing w:after="0" w:line="360" w:lineRule="auto"/>
        <w:rPr>
          <w:rFonts w:cstheme="minorHAnsi"/>
        </w:rPr>
      </w:pPr>
    </w:p>
    <w:p w:rsidR="00C13BF2" w:rsidRPr="00434E44" w:rsidRDefault="00C13BF2" w:rsidP="00434E44">
      <w:pPr>
        <w:spacing w:after="0" w:line="360" w:lineRule="auto"/>
        <w:rPr>
          <w:rFonts w:cstheme="minorHAnsi"/>
          <w:b/>
        </w:rPr>
      </w:pPr>
      <w:r w:rsidRPr="00434E44">
        <w:rPr>
          <w:rFonts w:cstheme="minorHAnsi"/>
          <w:b/>
        </w:rPr>
        <w:t>Slide 47</w:t>
      </w:r>
    </w:p>
    <w:p w:rsidR="00EB55DF" w:rsidRPr="00EB55DF" w:rsidRDefault="00EB55DF" w:rsidP="00EB55DF">
      <w:pPr>
        <w:spacing w:after="0"/>
        <w:rPr>
          <w:rFonts w:cstheme="minorHAnsi"/>
          <w:kern w:val="24"/>
        </w:rPr>
      </w:pPr>
      <w:r w:rsidRPr="00EB55DF">
        <w:rPr>
          <w:rFonts w:cstheme="minorHAnsi"/>
          <w:kern w:val="24"/>
        </w:rPr>
        <w:t>If you have additional questions about resources or navigating the applicable webpages, please reach out to us at the information provided here.</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48</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Outreach is the first step in getting participants in the door and ready for TAA participation.  Review these resources that can help with getting outreach started.</w:t>
      </w:r>
    </w:p>
    <w:p w:rsidR="00C13BF2" w:rsidRPr="00434E44" w:rsidRDefault="00C13BF2" w:rsidP="00434E44">
      <w:pPr>
        <w:spacing w:after="0"/>
        <w:rPr>
          <w:rFonts w:cstheme="minorHAnsi"/>
        </w:rPr>
      </w:pPr>
    </w:p>
    <w:p w:rsidR="00C13BF2" w:rsidRPr="00434E44" w:rsidRDefault="00C13BF2" w:rsidP="00434E44">
      <w:pPr>
        <w:spacing w:after="0" w:line="360" w:lineRule="auto"/>
        <w:rPr>
          <w:rFonts w:cstheme="minorHAnsi"/>
          <w:b/>
        </w:rPr>
      </w:pPr>
      <w:r w:rsidRPr="00434E44">
        <w:rPr>
          <w:rFonts w:cstheme="minorHAnsi"/>
          <w:b/>
        </w:rPr>
        <w:t>Slide 49</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There is a section on Outreach Technical Assistance (TA).  It includes information on the TAA Navigator Model and Outreach Letters.  It currently also links to the Rapid Response coordinators.</w:t>
      </w:r>
    </w:p>
    <w:p w:rsidR="00BB2B01" w:rsidRDefault="00BB2B01">
      <w:pPr>
        <w:rPr>
          <w:rFonts w:cstheme="minorHAnsi"/>
          <w:b/>
        </w:rPr>
      </w:pPr>
      <w:r>
        <w:rPr>
          <w:rFonts w:cstheme="minorHAnsi"/>
          <w:b/>
        </w:rPr>
        <w:br w:type="page"/>
      </w:r>
    </w:p>
    <w:p w:rsidR="00C13BF2" w:rsidRPr="00434E44" w:rsidRDefault="00C13BF2" w:rsidP="00434E44">
      <w:pPr>
        <w:spacing w:after="0" w:line="360" w:lineRule="auto"/>
        <w:rPr>
          <w:rFonts w:cstheme="minorHAnsi"/>
          <w:b/>
        </w:rPr>
      </w:pPr>
      <w:r w:rsidRPr="00434E44">
        <w:rPr>
          <w:rFonts w:cstheme="minorHAnsi"/>
          <w:b/>
        </w:rPr>
        <w:t>Slide 50</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lastRenderedPageBreak/>
        <w:t>WorkforceGPS</w:t>
      </w:r>
      <w:r w:rsidR="00460CB2">
        <w:rPr>
          <w:rFonts w:cstheme="minorHAnsi"/>
          <w:kern w:val="24"/>
        </w:rPr>
        <w:t xml:space="preserve"> also has a dedicated section on</w:t>
      </w:r>
      <w:r w:rsidRPr="00434E44">
        <w:rPr>
          <w:rFonts w:cstheme="minorHAnsi"/>
          <w:kern w:val="24"/>
        </w:rPr>
        <w:t xml:space="preserve"> the TAA Navigator model.  This is featured content on the TAA Community Home page.</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51</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Here is the resource page.  As with all the resource pages on WorkforceGPS, the downloadable content is in the “Related Content” section on the left side.</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52</w:t>
      </w:r>
    </w:p>
    <w:p w:rsidR="00C13BF2" w:rsidRPr="00434E44" w:rsidRDefault="00460CB2" w:rsidP="00434E44">
      <w:pPr>
        <w:autoSpaceDE w:val="0"/>
        <w:autoSpaceDN w:val="0"/>
        <w:adjustRightInd w:val="0"/>
        <w:spacing w:after="0" w:line="240" w:lineRule="auto"/>
        <w:rPr>
          <w:rFonts w:cstheme="minorHAnsi"/>
          <w:kern w:val="24"/>
        </w:rPr>
      </w:pPr>
      <w:r>
        <w:rPr>
          <w:rFonts w:cstheme="minorHAnsi"/>
          <w:kern w:val="24"/>
        </w:rPr>
        <w:t xml:space="preserve">Also on WorkforceGPS </w:t>
      </w:r>
      <w:r w:rsidR="00C13BF2" w:rsidRPr="00434E44">
        <w:rPr>
          <w:rFonts w:cstheme="minorHAnsi"/>
          <w:kern w:val="24"/>
        </w:rPr>
        <w:t>are sheets which we describe:</w:t>
      </w:r>
    </w:p>
    <w:p w:rsidR="00C13BF2" w:rsidRPr="00434E44" w:rsidRDefault="00C13BF2" w:rsidP="00460CB2">
      <w:pPr>
        <w:numPr>
          <w:ilvl w:val="0"/>
          <w:numId w:val="4"/>
        </w:numPr>
        <w:autoSpaceDE w:val="0"/>
        <w:autoSpaceDN w:val="0"/>
        <w:adjustRightInd w:val="0"/>
        <w:spacing w:after="0" w:line="240" w:lineRule="auto"/>
        <w:rPr>
          <w:rFonts w:cstheme="minorHAnsi"/>
          <w:kern w:val="24"/>
        </w:rPr>
      </w:pPr>
      <w:r w:rsidRPr="00434E44">
        <w:rPr>
          <w:rFonts w:cstheme="minorHAnsi"/>
          <w:kern w:val="24"/>
        </w:rPr>
        <w:t>Our email list and contact updates so you can understand what lists we maintain, their purposes, and how to get added to them.</w:t>
      </w:r>
    </w:p>
    <w:p w:rsidR="00C13BF2" w:rsidRPr="00434E44" w:rsidRDefault="00C13BF2" w:rsidP="00460CB2">
      <w:pPr>
        <w:numPr>
          <w:ilvl w:val="0"/>
          <w:numId w:val="4"/>
        </w:numPr>
        <w:autoSpaceDE w:val="0"/>
        <w:autoSpaceDN w:val="0"/>
        <w:adjustRightInd w:val="0"/>
        <w:spacing w:after="0" w:line="240" w:lineRule="auto"/>
        <w:rPr>
          <w:rFonts w:cstheme="minorHAnsi"/>
          <w:kern w:val="24"/>
        </w:rPr>
      </w:pPr>
      <w:r w:rsidRPr="00434E44">
        <w:rPr>
          <w:rFonts w:cstheme="minorHAnsi"/>
          <w:kern w:val="24"/>
        </w:rPr>
        <w:t xml:space="preserve">Notifications and Communications </w:t>
      </w:r>
      <w:proofErr w:type="gramStart"/>
      <w:r w:rsidRPr="00434E44">
        <w:rPr>
          <w:rFonts w:cstheme="minorHAnsi"/>
          <w:kern w:val="24"/>
        </w:rPr>
        <w:t>Throughout</w:t>
      </w:r>
      <w:proofErr w:type="gramEnd"/>
      <w:r w:rsidRPr="00434E44">
        <w:rPr>
          <w:rFonts w:cstheme="minorHAnsi"/>
          <w:kern w:val="24"/>
        </w:rPr>
        <w:t xml:space="preserve"> the TAA Petition Process, which describes when stakeholders are notified throughout the petition process.  These early touchpoints are needed to reach members of the worker group and assist them with services to reach their employment goals.</w:t>
      </w:r>
    </w:p>
    <w:p w:rsidR="00C13BF2" w:rsidRPr="00434E44" w:rsidRDefault="00C13BF2" w:rsidP="00434E44">
      <w:pPr>
        <w:spacing w:after="0"/>
        <w:rPr>
          <w:rFonts w:cstheme="minorHAnsi"/>
        </w:rPr>
      </w:pPr>
    </w:p>
    <w:p w:rsidR="00E74AF8" w:rsidRPr="00434E44" w:rsidRDefault="00E74AF8" w:rsidP="00E74AF8">
      <w:pPr>
        <w:spacing w:after="0" w:line="360" w:lineRule="auto"/>
        <w:rPr>
          <w:rFonts w:cstheme="minorHAnsi"/>
          <w:b/>
        </w:rPr>
      </w:pPr>
      <w:r w:rsidRPr="00434E44">
        <w:rPr>
          <w:rFonts w:cstheme="minorHAnsi"/>
          <w:b/>
        </w:rPr>
        <w:t xml:space="preserve">Slide </w:t>
      </w:r>
      <w:r>
        <w:rPr>
          <w:rFonts w:cstheme="minorHAnsi"/>
          <w:b/>
        </w:rPr>
        <w:t>53</w:t>
      </w:r>
    </w:p>
    <w:p w:rsidR="00E74AF8" w:rsidRPr="00E74AF8" w:rsidRDefault="00E74AF8" w:rsidP="00E74AF8">
      <w:pPr>
        <w:spacing w:after="0"/>
        <w:rPr>
          <w:rFonts w:cstheme="minorHAnsi"/>
          <w:kern w:val="24"/>
        </w:rPr>
      </w:pPr>
      <w:r w:rsidRPr="00E74AF8">
        <w:rPr>
          <w:rFonts w:cstheme="minorHAnsi"/>
          <w:kern w:val="24"/>
        </w:rPr>
        <w:t xml:space="preserve">You may also be interested in learning if a decision has been made on the petition.  Here </w:t>
      </w:r>
      <w:r w:rsidR="006E2472">
        <w:rPr>
          <w:rFonts w:cstheme="minorHAnsi"/>
          <w:kern w:val="24"/>
        </w:rPr>
        <w:t>near</w:t>
      </w:r>
      <w:r w:rsidRPr="00E74AF8">
        <w:rPr>
          <w:rFonts w:cstheme="minorHAnsi"/>
          <w:kern w:val="24"/>
        </w:rPr>
        <w:t xml:space="preserve"> the bottom of the home page is a button “Search Petitions.”</w:t>
      </w:r>
    </w:p>
    <w:p w:rsidR="00E74AF8" w:rsidRPr="00434E44" w:rsidRDefault="00E74AF8" w:rsidP="00E74AF8">
      <w:pPr>
        <w:spacing w:after="0"/>
        <w:rPr>
          <w:rFonts w:cstheme="minorHAnsi"/>
        </w:rPr>
      </w:pPr>
    </w:p>
    <w:p w:rsidR="00E74AF8" w:rsidRPr="00434E44" w:rsidRDefault="00E74AF8" w:rsidP="00E74AF8">
      <w:pPr>
        <w:spacing w:after="0" w:line="360" w:lineRule="auto"/>
        <w:rPr>
          <w:rFonts w:cstheme="minorHAnsi"/>
          <w:b/>
        </w:rPr>
      </w:pPr>
      <w:r>
        <w:rPr>
          <w:rFonts w:cstheme="minorHAnsi"/>
          <w:b/>
        </w:rPr>
        <w:t>Slide 54</w:t>
      </w:r>
    </w:p>
    <w:p w:rsidR="00E74AF8" w:rsidRPr="00E74AF8" w:rsidRDefault="00E74AF8" w:rsidP="00E74AF8">
      <w:pPr>
        <w:spacing w:after="0"/>
        <w:rPr>
          <w:rFonts w:cstheme="minorHAnsi"/>
          <w:kern w:val="24"/>
        </w:rPr>
      </w:pPr>
      <w:r w:rsidRPr="00E74AF8">
        <w:rPr>
          <w:rFonts w:cstheme="minorHAnsi"/>
          <w:kern w:val="24"/>
        </w:rPr>
        <w:t>Once you select “Search Petitions,” you will see a set of search options:</w:t>
      </w:r>
    </w:p>
    <w:p w:rsidR="00E74AF8" w:rsidRPr="00E74AF8" w:rsidRDefault="00E74AF8" w:rsidP="00E74AF8">
      <w:pPr>
        <w:spacing w:after="0"/>
        <w:rPr>
          <w:rFonts w:cstheme="minorHAnsi"/>
          <w:kern w:val="24"/>
        </w:rPr>
      </w:pPr>
      <w:r w:rsidRPr="00E74AF8">
        <w:rPr>
          <w:rFonts w:cstheme="minorHAnsi"/>
          <w:kern w:val="24"/>
        </w:rPr>
        <w:t>Search by Petition Number, which is just the number assigned to that investigation.</w:t>
      </w:r>
    </w:p>
    <w:p w:rsidR="00E74AF8" w:rsidRPr="00E74AF8" w:rsidRDefault="00E74AF8" w:rsidP="00E74AF8">
      <w:pPr>
        <w:spacing w:after="0"/>
        <w:rPr>
          <w:rFonts w:cstheme="minorHAnsi"/>
          <w:kern w:val="24"/>
        </w:rPr>
      </w:pPr>
      <w:r w:rsidRPr="00E74AF8">
        <w:rPr>
          <w:rFonts w:cstheme="minorHAnsi"/>
          <w:kern w:val="24"/>
        </w:rPr>
        <w:t>Search by Company Name or</w:t>
      </w:r>
    </w:p>
    <w:p w:rsidR="00E74AF8" w:rsidRPr="00E74AF8" w:rsidRDefault="00E74AF8" w:rsidP="00E74AF8">
      <w:pPr>
        <w:spacing w:after="0"/>
        <w:rPr>
          <w:rFonts w:cstheme="minorHAnsi"/>
          <w:kern w:val="24"/>
        </w:rPr>
      </w:pPr>
      <w:r w:rsidRPr="00E74AF8">
        <w:rPr>
          <w:rFonts w:cstheme="minorHAnsi"/>
          <w:kern w:val="24"/>
        </w:rPr>
        <w:t>Advanced Search which includes searching by dates or locations.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55</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If the workers are part of the petitioning worker group, it is best to file a petition on the worker group’s behalf.  The Petitions TA section provides information on filing petitions.  It also has more specific information on specialized situations such as successor-in-interest and International Trade Commission (ITC) decisions.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56</w:t>
      </w:r>
    </w:p>
    <w:p w:rsidR="00C13BF2" w:rsidRPr="00434E44" w:rsidRDefault="005F1174" w:rsidP="00434E44">
      <w:pPr>
        <w:autoSpaceDE w:val="0"/>
        <w:autoSpaceDN w:val="0"/>
        <w:adjustRightInd w:val="0"/>
        <w:spacing w:after="0" w:line="240" w:lineRule="auto"/>
        <w:rPr>
          <w:rFonts w:cstheme="minorHAnsi"/>
          <w:kern w:val="24"/>
        </w:rPr>
      </w:pPr>
      <w:r w:rsidRPr="005F1174">
        <w:rPr>
          <w:rFonts w:cstheme="minorHAnsi"/>
          <w:kern w:val="24"/>
        </w:rPr>
        <w:t>The “Petitioners” section of the website provides helpful information such as describing the petition process, providing filing instructions, listing recent decisions, and frequently asked questions about petition filing.  We also provide links here to the online petition and the petition in downloadable formats in English and Spanish.</w:t>
      </w:r>
    </w:p>
    <w:p w:rsidR="00C13BF2" w:rsidRPr="00434E44" w:rsidRDefault="00C13BF2" w:rsidP="00434E44">
      <w:pPr>
        <w:spacing w:after="0"/>
        <w:rPr>
          <w:rFonts w:cstheme="minorHAnsi"/>
        </w:rPr>
      </w:pPr>
    </w:p>
    <w:p w:rsidR="00BB2B01" w:rsidRDefault="00BB2B01">
      <w:pPr>
        <w:rPr>
          <w:rFonts w:cstheme="minorHAnsi"/>
          <w:b/>
        </w:rPr>
      </w:pPr>
      <w:r>
        <w:rPr>
          <w:rFonts w:cstheme="minorHAnsi"/>
          <w:b/>
        </w:rPr>
        <w:br w:type="page"/>
      </w:r>
    </w:p>
    <w:p w:rsidR="00C13BF2" w:rsidRPr="008C1AE0" w:rsidRDefault="00C13BF2" w:rsidP="00434E44">
      <w:pPr>
        <w:spacing w:after="0" w:line="360" w:lineRule="auto"/>
        <w:rPr>
          <w:rFonts w:cstheme="minorHAnsi"/>
          <w:b/>
        </w:rPr>
      </w:pPr>
      <w:r w:rsidRPr="008C1AE0">
        <w:rPr>
          <w:rFonts w:cstheme="minorHAnsi"/>
          <w:b/>
        </w:rPr>
        <w:lastRenderedPageBreak/>
        <w:t>Slide 57</w:t>
      </w:r>
    </w:p>
    <w:p w:rsidR="005F1174" w:rsidRPr="005F1174" w:rsidRDefault="005F1174" w:rsidP="005F1174">
      <w:pPr>
        <w:spacing w:after="0"/>
        <w:rPr>
          <w:rFonts w:cstheme="minorHAnsi"/>
          <w:kern w:val="24"/>
        </w:rPr>
      </w:pPr>
      <w:r w:rsidRPr="005F1174">
        <w:rPr>
          <w:rFonts w:cstheme="minorHAnsi"/>
          <w:kern w:val="24"/>
        </w:rPr>
        <w:t xml:space="preserve">The company </w:t>
      </w:r>
      <w:proofErr w:type="gramStart"/>
      <w:r w:rsidRPr="005F1174">
        <w:rPr>
          <w:rFonts w:cstheme="minorHAnsi"/>
          <w:kern w:val="24"/>
        </w:rPr>
        <w:t>officials</w:t>
      </w:r>
      <w:proofErr w:type="gramEnd"/>
      <w:r w:rsidRPr="005F1174">
        <w:rPr>
          <w:rFonts w:cstheme="minorHAnsi"/>
          <w:kern w:val="24"/>
        </w:rPr>
        <w:t xml:space="preserve"> page is designed to provide most of what a company official might need in one place.</w:t>
      </w:r>
    </w:p>
    <w:p w:rsidR="005F1174" w:rsidRPr="005F1174" w:rsidRDefault="005F1174" w:rsidP="005F1174">
      <w:pPr>
        <w:spacing w:after="0"/>
        <w:rPr>
          <w:rFonts w:cstheme="minorHAnsi"/>
          <w:kern w:val="24"/>
        </w:rPr>
      </w:pPr>
      <w:r w:rsidRPr="005F1174">
        <w:rPr>
          <w:rFonts w:cstheme="minorHAnsi"/>
          <w:kern w:val="24"/>
        </w:rPr>
        <w:t>This includes a 6-minute overview video which briefly explains the program and the investigation process.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58</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webinars page has a series of webinars, broken into sections by topic including petition filing, case management, and many more.</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59</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Webinars are also found on WorkforceGPS.  Go to the “Events” section to view upcoming and past events.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60</w:t>
      </w:r>
    </w:p>
    <w:p w:rsidR="00B05B73" w:rsidRPr="00B05B73" w:rsidRDefault="00B05B73" w:rsidP="00B05B73">
      <w:pPr>
        <w:autoSpaceDE w:val="0"/>
        <w:autoSpaceDN w:val="0"/>
        <w:adjustRightInd w:val="0"/>
        <w:spacing w:after="0" w:line="240" w:lineRule="auto"/>
        <w:rPr>
          <w:rFonts w:cstheme="minorHAnsi"/>
          <w:kern w:val="24"/>
        </w:rPr>
      </w:pPr>
      <w:r w:rsidRPr="00B05B73">
        <w:rPr>
          <w:rFonts w:cstheme="minorHAnsi"/>
          <w:kern w:val="24"/>
        </w:rPr>
        <w:t>To read about TAA Participants and their journeys in the TAA Program, take a look at the Success Stories section.</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61</w:t>
      </w:r>
    </w:p>
    <w:p w:rsidR="00370765" w:rsidRPr="00370765" w:rsidRDefault="00370765" w:rsidP="00370765">
      <w:pPr>
        <w:spacing w:after="0"/>
        <w:rPr>
          <w:rFonts w:cstheme="minorHAnsi"/>
          <w:kern w:val="24"/>
        </w:rPr>
      </w:pPr>
      <w:r w:rsidRPr="00370765">
        <w:rPr>
          <w:rFonts w:cstheme="minorHAnsi"/>
          <w:kern w:val="24"/>
        </w:rPr>
        <w:t>If you have additional questions about resources or navigating the applicable webpages, please reach out to us at the information provided here.</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62</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State Coordinators, both TAA and Trade Readjustment Allowance (TRA), ensure that the TAA Program is administered appropriately in their states.  Review the resources in this section</w:t>
      </w:r>
      <w:r w:rsidR="00460CB2">
        <w:rPr>
          <w:rFonts w:cstheme="minorHAnsi"/>
          <w:kern w:val="24"/>
        </w:rPr>
        <w:t>.</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63</w:t>
      </w:r>
    </w:p>
    <w:p w:rsidR="001B6304" w:rsidRPr="001B6304" w:rsidRDefault="001B6304" w:rsidP="001B6304">
      <w:pPr>
        <w:autoSpaceDE w:val="0"/>
        <w:autoSpaceDN w:val="0"/>
        <w:adjustRightInd w:val="0"/>
        <w:spacing w:after="0" w:line="240" w:lineRule="auto"/>
        <w:rPr>
          <w:rFonts w:cstheme="minorHAnsi"/>
          <w:kern w:val="24"/>
        </w:rPr>
      </w:pPr>
      <w:r w:rsidRPr="001B6304">
        <w:rPr>
          <w:rFonts w:cstheme="minorHAnsi"/>
          <w:kern w:val="24"/>
        </w:rPr>
        <w:t>A review of the Benefits and Services page is available as its own section.  Here, you can find information about what benefits and services are provided by the TAA Program based on each version of the program, although the most recent version will be applicable to most people.  You can also see a comparison between the various program versions.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64</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The Benefits and Services TA Section has a series of resources on the TAA Benefits and Services.  </w:t>
      </w:r>
      <w:r w:rsidR="00A32FC5">
        <w:rPr>
          <w:rFonts w:cstheme="minorHAnsi"/>
          <w:kern w:val="24"/>
        </w:rPr>
        <w:t>I</w:t>
      </w:r>
      <w:r w:rsidRPr="00434E44">
        <w:rPr>
          <w:rFonts w:cstheme="minorHAnsi"/>
          <w:kern w:val="24"/>
        </w:rPr>
        <w:t>nformation and fact sheets provide details on the administration of these benefits and services.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65</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Co-Enrollment of Trade participants with the Title I Dislocated Worker Program is required, according to the TAA Final Rule.  These co-enrollment materials provide supporting language for this requirement, data supporting co-enrollment, and information dispelling myths of co-enrollment.</w:t>
      </w:r>
    </w:p>
    <w:p w:rsidR="00C13BF2" w:rsidRPr="00434E44" w:rsidRDefault="00C13BF2" w:rsidP="00434E44">
      <w:pPr>
        <w:spacing w:after="0"/>
        <w:rPr>
          <w:rFonts w:cstheme="minorHAnsi"/>
        </w:rPr>
      </w:pPr>
    </w:p>
    <w:p w:rsidR="00460CB2" w:rsidRDefault="00460CB2">
      <w:pPr>
        <w:rPr>
          <w:rFonts w:cstheme="minorHAnsi"/>
          <w:b/>
        </w:rPr>
      </w:pPr>
      <w:r>
        <w:rPr>
          <w:rFonts w:cstheme="minorHAnsi"/>
          <w:b/>
        </w:rPr>
        <w:br w:type="page"/>
      </w:r>
    </w:p>
    <w:p w:rsidR="00C13BF2" w:rsidRPr="008C1AE0" w:rsidRDefault="00C13BF2" w:rsidP="00434E44">
      <w:pPr>
        <w:spacing w:after="0" w:line="360" w:lineRule="auto"/>
        <w:rPr>
          <w:rFonts w:cstheme="minorHAnsi"/>
          <w:b/>
        </w:rPr>
      </w:pPr>
      <w:r w:rsidRPr="008C1AE0">
        <w:rPr>
          <w:rFonts w:cstheme="minorHAnsi"/>
          <w:b/>
        </w:rPr>
        <w:lastRenderedPageBreak/>
        <w:t>Slide 66</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Efforts to Improve Outcomes resources are also on this page.</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Each quarter, Efforts to Improve Outcomes are reported by the state.  Use these resources to provide the strongest response.  They include a webinar and an FAQ.  Each quarter, an effort is selected for the quarterly workforce system results, also linked here.</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67</w:t>
      </w:r>
    </w:p>
    <w:p w:rsidR="00B02098" w:rsidRPr="00B02098" w:rsidRDefault="00B02098" w:rsidP="00B02098">
      <w:pPr>
        <w:autoSpaceDE w:val="0"/>
        <w:autoSpaceDN w:val="0"/>
        <w:adjustRightInd w:val="0"/>
        <w:spacing w:after="0" w:line="240" w:lineRule="auto"/>
        <w:rPr>
          <w:rFonts w:cstheme="minorHAnsi"/>
          <w:kern w:val="24"/>
        </w:rPr>
      </w:pPr>
      <w:r w:rsidRPr="00B02098">
        <w:rPr>
          <w:rFonts w:cstheme="minorHAnsi"/>
          <w:kern w:val="24"/>
        </w:rPr>
        <w:t>Also on</w:t>
      </w:r>
      <w:r w:rsidR="00460CB2">
        <w:rPr>
          <w:rFonts w:cstheme="minorHAnsi"/>
          <w:kern w:val="24"/>
        </w:rPr>
        <w:t xml:space="preserve"> WorkforceGPS </w:t>
      </w:r>
      <w:r w:rsidRPr="00B02098">
        <w:rPr>
          <w:rFonts w:cstheme="minorHAnsi"/>
          <w:kern w:val="24"/>
        </w:rPr>
        <w:t>are sheets which we describe:</w:t>
      </w:r>
    </w:p>
    <w:p w:rsidR="00AA0392" w:rsidRPr="00B02098" w:rsidRDefault="00FF696A" w:rsidP="00460CB2">
      <w:pPr>
        <w:numPr>
          <w:ilvl w:val="0"/>
          <w:numId w:val="3"/>
        </w:numPr>
        <w:autoSpaceDE w:val="0"/>
        <w:autoSpaceDN w:val="0"/>
        <w:adjustRightInd w:val="0"/>
        <w:spacing w:after="0" w:line="240" w:lineRule="auto"/>
        <w:rPr>
          <w:rFonts w:cstheme="minorHAnsi"/>
          <w:kern w:val="24"/>
        </w:rPr>
      </w:pPr>
      <w:r w:rsidRPr="00B02098">
        <w:rPr>
          <w:rFonts w:cstheme="minorHAnsi"/>
          <w:kern w:val="24"/>
        </w:rPr>
        <w:t>Our email list and contact updates so you can understand what lists we maintain, their purposes, and how to get added to them.</w:t>
      </w:r>
    </w:p>
    <w:p w:rsidR="00AA0392" w:rsidRPr="00B02098" w:rsidRDefault="00FF696A" w:rsidP="00460CB2">
      <w:pPr>
        <w:numPr>
          <w:ilvl w:val="0"/>
          <w:numId w:val="3"/>
        </w:numPr>
        <w:autoSpaceDE w:val="0"/>
        <w:autoSpaceDN w:val="0"/>
        <w:adjustRightInd w:val="0"/>
        <w:spacing w:after="0" w:line="240" w:lineRule="auto"/>
        <w:rPr>
          <w:rFonts w:cstheme="minorHAnsi"/>
          <w:kern w:val="24"/>
        </w:rPr>
      </w:pPr>
      <w:r w:rsidRPr="00B02098">
        <w:rPr>
          <w:rFonts w:cstheme="minorHAnsi"/>
          <w:kern w:val="24"/>
        </w:rPr>
        <w:t xml:space="preserve">Notifications and Communications </w:t>
      </w:r>
      <w:proofErr w:type="gramStart"/>
      <w:r w:rsidRPr="00B02098">
        <w:rPr>
          <w:rFonts w:cstheme="minorHAnsi"/>
          <w:kern w:val="24"/>
        </w:rPr>
        <w:t>Throughout</w:t>
      </w:r>
      <w:proofErr w:type="gramEnd"/>
      <w:r w:rsidRPr="00B02098">
        <w:rPr>
          <w:rFonts w:cstheme="minorHAnsi"/>
          <w:kern w:val="24"/>
        </w:rPr>
        <w:t xml:space="preserve"> the TAA Petition Process, which describes when stakeholders are notified throughout the petition process.  These early touchpoints are needed to reach members of the worker group and assist them with services to reach their employment goals.</w:t>
      </w:r>
    </w:p>
    <w:p w:rsidR="00C13BF2" w:rsidRPr="00434E44" w:rsidRDefault="00C13BF2" w:rsidP="00434E44">
      <w:pPr>
        <w:autoSpaceDE w:val="0"/>
        <w:autoSpaceDN w:val="0"/>
        <w:adjustRightInd w:val="0"/>
        <w:spacing w:after="0" w:line="240" w:lineRule="auto"/>
        <w:rPr>
          <w:rFonts w:cstheme="minorHAnsi"/>
          <w:kern w:val="24"/>
        </w:rPr>
      </w:pPr>
    </w:p>
    <w:p w:rsidR="00C13BF2" w:rsidRPr="008C1AE0" w:rsidRDefault="00C13BF2" w:rsidP="00434E44">
      <w:pPr>
        <w:spacing w:after="0" w:line="360" w:lineRule="auto"/>
        <w:rPr>
          <w:rFonts w:cstheme="minorHAnsi"/>
          <w:b/>
        </w:rPr>
      </w:pPr>
      <w:r w:rsidRPr="008C1AE0">
        <w:rPr>
          <w:rFonts w:cstheme="minorHAnsi"/>
          <w:b/>
        </w:rPr>
        <w:t>Slide 68</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Blogs are regularly posted on the WorkforceGPS community.  These are written by TAA stakeholders on various topics useful to a variety of readers.  </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69</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WorkforceGPS Community also hosts a discussion forum.  There are a variety of topics here for discussion.  Log in to comment.</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70</w:t>
      </w:r>
    </w:p>
    <w:p w:rsidR="00AA298F" w:rsidRPr="00AA298F" w:rsidRDefault="00AA298F" w:rsidP="00AA298F">
      <w:pPr>
        <w:autoSpaceDE w:val="0"/>
        <w:autoSpaceDN w:val="0"/>
        <w:adjustRightInd w:val="0"/>
        <w:spacing w:after="0" w:line="240" w:lineRule="auto"/>
        <w:rPr>
          <w:rFonts w:cstheme="minorHAnsi"/>
          <w:kern w:val="24"/>
        </w:rPr>
      </w:pPr>
      <w:r w:rsidRPr="00AA298F">
        <w:rPr>
          <w:rFonts w:cstheme="minorHAnsi"/>
          <w:kern w:val="24"/>
        </w:rPr>
        <w:t>WorkforceGPS</w:t>
      </w:r>
      <w:r w:rsidR="00460CB2">
        <w:rPr>
          <w:rFonts w:cstheme="minorHAnsi"/>
          <w:kern w:val="24"/>
        </w:rPr>
        <w:t xml:space="preserve"> also has a dedicated section on</w:t>
      </w:r>
      <w:r w:rsidRPr="00AA298F">
        <w:rPr>
          <w:rFonts w:cstheme="minorHAnsi"/>
          <w:kern w:val="24"/>
        </w:rPr>
        <w:t xml:space="preserve"> the TAA Navigator model.  This is featured content on the TAA Community Home page.</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71</w:t>
      </w:r>
    </w:p>
    <w:p w:rsidR="00AA298F" w:rsidRPr="00AA298F" w:rsidRDefault="00AA298F" w:rsidP="00AA298F">
      <w:pPr>
        <w:spacing w:after="0"/>
        <w:rPr>
          <w:rFonts w:cstheme="minorHAnsi"/>
          <w:kern w:val="24"/>
        </w:rPr>
      </w:pPr>
      <w:r w:rsidRPr="00AA298F">
        <w:rPr>
          <w:rFonts w:cstheme="minorHAnsi"/>
          <w:kern w:val="24"/>
        </w:rPr>
        <w:t>Here is the resource page.  As with all the resource pages on WorkforceGPS, the downloadable content is in the “Related Content” section on the left side.</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72</w:t>
      </w:r>
    </w:p>
    <w:p w:rsidR="00AA298F" w:rsidRPr="00AA298F" w:rsidRDefault="00AA298F" w:rsidP="00AA298F">
      <w:pPr>
        <w:spacing w:after="0"/>
        <w:rPr>
          <w:rFonts w:cstheme="minorHAnsi"/>
          <w:kern w:val="24"/>
        </w:rPr>
      </w:pPr>
      <w:r w:rsidRPr="00AA298F">
        <w:rPr>
          <w:rFonts w:cstheme="minorHAnsi"/>
          <w:kern w:val="24"/>
        </w:rPr>
        <w:t>The webinars page has a series of webinars, broken into sections by topic including petition filing, case management, and many more.</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73</w:t>
      </w:r>
    </w:p>
    <w:p w:rsidR="00AA298F" w:rsidRPr="00AA298F" w:rsidRDefault="00AA298F" w:rsidP="00AA298F">
      <w:pPr>
        <w:spacing w:after="0"/>
        <w:rPr>
          <w:rFonts w:cstheme="minorHAnsi"/>
          <w:kern w:val="24"/>
        </w:rPr>
      </w:pPr>
      <w:r w:rsidRPr="00AA298F">
        <w:rPr>
          <w:rFonts w:cstheme="minorHAnsi"/>
          <w:kern w:val="24"/>
        </w:rPr>
        <w:t>Webinars are also found on WorkforceGPS.  Go to the “Events” section to view upcoming and past events.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74</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TAA Program is governed by statutes, regulations, and directives and guidance.  These are all located on the “Law” page.</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75</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Here are the statutes, starting from the 2002 Program.</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76</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Next is Regulations.  With the TAA Final Rule published in 2020, there is a series of materi</w:t>
      </w:r>
      <w:r w:rsidR="00460CB2">
        <w:rPr>
          <w:rFonts w:cstheme="minorHAnsi"/>
          <w:kern w:val="24"/>
        </w:rPr>
        <w:t>als including links to the rule</w:t>
      </w:r>
      <w:r w:rsidRPr="00434E44">
        <w:rPr>
          <w:rFonts w:cstheme="minorHAnsi"/>
          <w:kern w:val="24"/>
        </w:rPr>
        <w:t>, the text of the preamble, indexes, crosswalks, and even links to trainings on each section.</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77</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Directives and Guidance are issued by the Department.  They provide useful information on the implementation of the TAA Program.</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78</w:t>
      </w:r>
    </w:p>
    <w:p w:rsidR="00EC55F7" w:rsidRPr="00EC55F7" w:rsidRDefault="00EC55F7" w:rsidP="00EC55F7">
      <w:pPr>
        <w:autoSpaceDE w:val="0"/>
        <w:autoSpaceDN w:val="0"/>
        <w:adjustRightInd w:val="0"/>
        <w:spacing w:after="0" w:line="240" w:lineRule="auto"/>
        <w:rPr>
          <w:rFonts w:cstheme="minorHAnsi"/>
          <w:kern w:val="24"/>
        </w:rPr>
      </w:pPr>
      <w:r w:rsidRPr="00EC55F7">
        <w:rPr>
          <w:rFonts w:cstheme="minorHAnsi"/>
          <w:kern w:val="24"/>
        </w:rPr>
        <w:t>Each year, a report of the TAA Program is submitted to Congress.  Each of the annual reports are posted in the “Reports” section of the DOL TAA website.</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79</w:t>
      </w:r>
    </w:p>
    <w:p w:rsidR="00B05B73" w:rsidRPr="00B05B73" w:rsidRDefault="00B05B73" w:rsidP="00B05B73">
      <w:pPr>
        <w:spacing w:after="0"/>
        <w:rPr>
          <w:rFonts w:cstheme="minorHAnsi"/>
          <w:kern w:val="24"/>
        </w:rPr>
      </w:pPr>
      <w:r w:rsidRPr="00B05B73">
        <w:rPr>
          <w:rFonts w:cstheme="minorHAnsi"/>
          <w:kern w:val="24"/>
        </w:rPr>
        <w:t>To read about TAA Participants and their journeys in the TAA Program, take a look at the Success Stories section.</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80</w:t>
      </w:r>
    </w:p>
    <w:p w:rsidR="00AA298F" w:rsidRPr="00AA298F" w:rsidRDefault="00AA298F" w:rsidP="00AA298F">
      <w:pPr>
        <w:autoSpaceDE w:val="0"/>
        <w:autoSpaceDN w:val="0"/>
        <w:adjustRightInd w:val="0"/>
        <w:spacing w:after="0" w:line="240" w:lineRule="auto"/>
        <w:rPr>
          <w:rFonts w:cstheme="minorHAnsi"/>
          <w:kern w:val="24"/>
        </w:rPr>
      </w:pPr>
      <w:r w:rsidRPr="00AA298F">
        <w:rPr>
          <w:rFonts w:cstheme="minorHAnsi"/>
          <w:kern w:val="24"/>
        </w:rPr>
        <w:t>Here on the About Us page, you’ll find links to information such as information on the TAA Administrator, the program brochure, link to program statistics, etc.</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81</w:t>
      </w:r>
    </w:p>
    <w:p w:rsidR="00AA298F" w:rsidRPr="00AA298F" w:rsidRDefault="00AA298F" w:rsidP="00AA298F">
      <w:pPr>
        <w:spacing w:after="0"/>
        <w:rPr>
          <w:rFonts w:cstheme="minorHAnsi"/>
          <w:kern w:val="24"/>
        </w:rPr>
      </w:pPr>
      <w:r w:rsidRPr="00AA298F">
        <w:rPr>
          <w:rFonts w:cstheme="minorHAnsi"/>
          <w:kern w:val="24"/>
        </w:rPr>
        <w:t>Found in the About Us section is About the Administrator.  Learn about the background of the current OTAA Administrator.</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82</w:t>
      </w:r>
    </w:p>
    <w:p w:rsidR="00AA298F" w:rsidRPr="00AA298F" w:rsidRDefault="00AA298F" w:rsidP="00AA298F">
      <w:pPr>
        <w:spacing w:after="0"/>
        <w:rPr>
          <w:rFonts w:cstheme="minorHAnsi"/>
          <w:kern w:val="24"/>
        </w:rPr>
      </w:pPr>
      <w:r w:rsidRPr="00AA298F">
        <w:rPr>
          <w:rFonts w:cstheme="minorHAnsi"/>
          <w:kern w:val="24"/>
        </w:rPr>
        <w:t xml:space="preserve">The organizational chart is also available here.  Review the structure of OTAA, including its divisions and size. </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83</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WorkforceGPS Community also has a variety of resources, many of which are produced by the state</w:t>
      </w:r>
      <w:r w:rsidR="00A32FC5">
        <w:rPr>
          <w:rFonts w:cstheme="minorHAnsi"/>
          <w:kern w:val="24"/>
        </w:rPr>
        <w:t>s.  This resources page organizes</w:t>
      </w:r>
      <w:r w:rsidRPr="00434E44">
        <w:rPr>
          <w:rFonts w:cstheme="minorHAnsi"/>
          <w:kern w:val="24"/>
        </w:rPr>
        <w:t xml:space="preserve"> resources by category.  You can also search in the search box at the top of the page.</w:t>
      </w:r>
    </w:p>
    <w:p w:rsidR="00C13BF2" w:rsidRPr="00434E44" w:rsidRDefault="00C13BF2" w:rsidP="00434E44">
      <w:pPr>
        <w:autoSpaceDE w:val="0"/>
        <w:autoSpaceDN w:val="0"/>
        <w:adjustRightInd w:val="0"/>
        <w:spacing w:after="0" w:line="240" w:lineRule="auto"/>
        <w:rPr>
          <w:rFonts w:cstheme="minorHAnsi"/>
          <w:kern w:val="24"/>
        </w:rPr>
      </w:pP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If you are have a resource you think would be valuable for other states, please follow the instructions for submitting.  These instructions can also be found in these resources.  </w:t>
      </w:r>
    </w:p>
    <w:p w:rsidR="00C13BF2" w:rsidRPr="00434E44" w:rsidRDefault="00C13BF2" w:rsidP="00434E44">
      <w:pPr>
        <w:spacing w:after="0"/>
        <w:rPr>
          <w:rFonts w:cstheme="minorHAnsi"/>
        </w:rPr>
      </w:pPr>
    </w:p>
    <w:p w:rsidR="00BB2B01" w:rsidRDefault="00BB2B01">
      <w:pPr>
        <w:rPr>
          <w:rFonts w:cstheme="minorHAnsi"/>
          <w:b/>
        </w:rPr>
      </w:pPr>
      <w:r>
        <w:rPr>
          <w:rFonts w:cstheme="minorHAnsi"/>
          <w:b/>
        </w:rPr>
        <w:br w:type="page"/>
      </w:r>
    </w:p>
    <w:p w:rsidR="00C13BF2" w:rsidRPr="008C1AE0" w:rsidRDefault="00C13BF2" w:rsidP="00434E44">
      <w:pPr>
        <w:spacing w:after="0" w:line="360" w:lineRule="auto"/>
        <w:rPr>
          <w:rFonts w:cstheme="minorHAnsi"/>
          <w:b/>
        </w:rPr>
      </w:pPr>
      <w:r w:rsidRPr="008C1AE0">
        <w:rPr>
          <w:rFonts w:cstheme="minorHAnsi"/>
          <w:b/>
        </w:rPr>
        <w:lastRenderedPageBreak/>
        <w:t>Slide 84</w:t>
      </w:r>
    </w:p>
    <w:p w:rsidR="00370765" w:rsidRPr="00370765" w:rsidRDefault="00370765" w:rsidP="00370765">
      <w:pPr>
        <w:spacing w:after="0"/>
        <w:rPr>
          <w:rFonts w:cstheme="minorHAnsi"/>
          <w:kern w:val="24"/>
        </w:rPr>
      </w:pPr>
      <w:r w:rsidRPr="00370765">
        <w:rPr>
          <w:rFonts w:cstheme="minorHAnsi"/>
          <w:kern w:val="24"/>
        </w:rPr>
        <w:t>If you have additional questions about resources or navigating the applicable webpages, please reach out to us at the information provided here.</w:t>
      </w:r>
    </w:p>
    <w:p w:rsidR="00370765" w:rsidRDefault="00370765" w:rsidP="00434E44">
      <w:pPr>
        <w:spacing w:after="0" w:line="360" w:lineRule="auto"/>
        <w:rPr>
          <w:rFonts w:cstheme="minorHAnsi"/>
          <w:b/>
        </w:rPr>
      </w:pPr>
    </w:p>
    <w:p w:rsidR="00C13BF2" w:rsidRPr="008C1AE0" w:rsidRDefault="00C13BF2" w:rsidP="00434E44">
      <w:pPr>
        <w:spacing w:after="0" w:line="360" w:lineRule="auto"/>
        <w:rPr>
          <w:rFonts w:cstheme="minorHAnsi"/>
          <w:b/>
        </w:rPr>
      </w:pPr>
      <w:r w:rsidRPr="008C1AE0">
        <w:rPr>
          <w:rFonts w:cstheme="minorHAnsi"/>
          <w:b/>
        </w:rPr>
        <w:t>Slide 85</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If you are a case manager working with participants, these resources should be helpful for you.</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86</w:t>
      </w:r>
    </w:p>
    <w:p w:rsidR="001B6304" w:rsidRPr="001B6304" w:rsidRDefault="001B6304" w:rsidP="001B6304">
      <w:pPr>
        <w:spacing w:after="0"/>
        <w:rPr>
          <w:rFonts w:cstheme="minorHAnsi"/>
          <w:kern w:val="24"/>
        </w:rPr>
      </w:pPr>
      <w:r w:rsidRPr="001B6304">
        <w:rPr>
          <w:rFonts w:cstheme="minorHAnsi"/>
          <w:kern w:val="24"/>
        </w:rPr>
        <w:t>A review of the Benefits and Services page is available as its own section.  Here, you can find information about what benefits and services are provided by the TAA Program based on each version of the program, although the most recent version will be applicable to most people.  You can also see a comparison between the various program versions.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87</w:t>
      </w:r>
    </w:p>
    <w:p w:rsidR="00FF696A" w:rsidRPr="00FF696A" w:rsidRDefault="00FF696A" w:rsidP="00FF696A">
      <w:pPr>
        <w:autoSpaceDE w:val="0"/>
        <w:autoSpaceDN w:val="0"/>
        <w:adjustRightInd w:val="0"/>
        <w:spacing w:after="0" w:line="240" w:lineRule="auto"/>
        <w:rPr>
          <w:rFonts w:cstheme="minorHAnsi"/>
          <w:kern w:val="24"/>
        </w:rPr>
      </w:pPr>
      <w:r w:rsidRPr="00FF696A">
        <w:rPr>
          <w:rFonts w:cstheme="minorHAnsi"/>
          <w:kern w:val="24"/>
        </w:rPr>
        <w:t>The Benefits and Services TA Section has a series of resources on the TAA Benefits and Services.  These information and fact sheets provide details on the administration of these benefits and services.</w:t>
      </w:r>
    </w:p>
    <w:p w:rsidR="00C13BF2" w:rsidRPr="00434E44" w:rsidRDefault="00C13BF2" w:rsidP="00434E44">
      <w:pPr>
        <w:spacing w:after="0"/>
        <w:rPr>
          <w:rFonts w:cstheme="minorHAnsi"/>
        </w:rPr>
      </w:pPr>
    </w:p>
    <w:p w:rsidR="00B05B73" w:rsidRPr="00434E44" w:rsidRDefault="00B05B73" w:rsidP="00B05B73">
      <w:pPr>
        <w:spacing w:after="0" w:line="360" w:lineRule="auto"/>
        <w:rPr>
          <w:rFonts w:cstheme="minorHAnsi"/>
          <w:b/>
        </w:rPr>
      </w:pPr>
      <w:r w:rsidRPr="00434E44">
        <w:rPr>
          <w:rFonts w:cstheme="minorHAnsi"/>
          <w:b/>
        </w:rPr>
        <w:t xml:space="preserve">Slide </w:t>
      </w:r>
      <w:r>
        <w:rPr>
          <w:rFonts w:cstheme="minorHAnsi"/>
          <w:b/>
        </w:rPr>
        <w:t>88</w:t>
      </w:r>
    </w:p>
    <w:p w:rsidR="00B05B73" w:rsidRPr="00E74AF8" w:rsidRDefault="00B05B73" w:rsidP="00B05B73">
      <w:pPr>
        <w:spacing w:after="0"/>
        <w:rPr>
          <w:rFonts w:cstheme="minorHAnsi"/>
          <w:kern w:val="24"/>
        </w:rPr>
      </w:pPr>
      <w:r w:rsidRPr="00E74AF8">
        <w:rPr>
          <w:rFonts w:cstheme="minorHAnsi"/>
          <w:kern w:val="24"/>
        </w:rPr>
        <w:t xml:space="preserve">You may also be interested in learning if a decision has been made on the petition.  Here </w:t>
      </w:r>
      <w:r w:rsidR="006E2472">
        <w:rPr>
          <w:rFonts w:cstheme="minorHAnsi"/>
          <w:kern w:val="24"/>
        </w:rPr>
        <w:t>near</w:t>
      </w:r>
      <w:r w:rsidRPr="00E74AF8">
        <w:rPr>
          <w:rFonts w:cstheme="minorHAnsi"/>
          <w:kern w:val="24"/>
        </w:rPr>
        <w:t xml:space="preserve"> the bottom of the home page is a button “Search Petitions.”</w:t>
      </w:r>
    </w:p>
    <w:p w:rsidR="00B05B73" w:rsidRPr="00434E44" w:rsidRDefault="00B05B73" w:rsidP="00B05B73">
      <w:pPr>
        <w:spacing w:after="0"/>
        <w:rPr>
          <w:rFonts w:cstheme="minorHAnsi"/>
        </w:rPr>
      </w:pPr>
    </w:p>
    <w:p w:rsidR="00B05B73" w:rsidRPr="00434E44" w:rsidRDefault="00B05B73" w:rsidP="00B05B73">
      <w:pPr>
        <w:spacing w:after="0" w:line="360" w:lineRule="auto"/>
        <w:rPr>
          <w:rFonts w:cstheme="minorHAnsi"/>
          <w:b/>
        </w:rPr>
      </w:pPr>
      <w:r>
        <w:rPr>
          <w:rFonts w:cstheme="minorHAnsi"/>
          <w:b/>
        </w:rPr>
        <w:t>Slide 89</w:t>
      </w:r>
    </w:p>
    <w:p w:rsidR="00B05B73" w:rsidRPr="00E74AF8" w:rsidRDefault="00B05B73" w:rsidP="00B05B73">
      <w:pPr>
        <w:spacing w:after="0"/>
        <w:rPr>
          <w:rFonts w:cstheme="minorHAnsi"/>
          <w:kern w:val="24"/>
        </w:rPr>
      </w:pPr>
      <w:r w:rsidRPr="00E74AF8">
        <w:rPr>
          <w:rFonts w:cstheme="minorHAnsi"/>
          <w:kern w:val="24"/>
        </w:rPr>
        <w:t>Once you select “Search Petitions,” you will see a set of search options:</w:t>
      </w:r>
    </w:p>
    <w:p w:rsidR="00B05B73" w:rsidRPr="00E74AF8" w:rsidRDefault="00B05B73" w:rsidP="00B05B73">
      <w:pPr>
        <w:spacing w:after="0"/>
        <w:rPr>
          <w:rFonts w:cstheme="minorHAnsi"/>
          <w:kern w:val="24"/>
        </w:rPr>
      </w:pPr>
      <w:r w:rsidRPr="00E74AF8">
        <w:rPr>
          <w:rFonts w:cstheme="minorHAnsi"/>
          <w:kern w:val="24"/>
        </w:rPr>
        <w:t>Search by Petition Number, which is just the number assigned to that investigation.</w:t>
      </w:r>
    </w:p>
    <w:p w:rsidR="00B05B73" w:rsidRPr="00E74AF8" w:rsidRDefault="00B05B73" w:rsidP="00B05B73">
      <w:pPr>
        <w:spacing w:after="0"/>
        <w:rPr>
          <w:rFonts w:cstheme="minorHAnsi"/>
          <w:kern w:val="24"/>
        </w:rPr>
      </w:pPr>
      <w:r w:rsidRPr="00E74AF8">
        <w:rPr>
          <w:rFonts w:cstheme="minorHAnsi"/>
          <w:kern w:val="24"/>
        </w:rPr>
        <w:t>Search by Company Name or</w:t>
      </w:r>
    </w:p>
    <w:p w:rsidR="00B05B73" w:rsidRPr="00E74AF8" w:rsidRDefault="00B05B73" w:rsidP="00B05B73">
      <w:pPr>
        <w:spacing w:after="0"/>
        <w:rPr>
          <w:rFonts w:cstheme="minorHAnsi"/>
          <w:kern w:val="24"/>
        </w:rPr>
      </w:pPr>
      <w:r w:rsidRPr="00E74AF8">
        <w:rPr>
          <w:rFonts w:cstheme="minorHAnsi"/>
          <w:kern w:val="24"/>
        </w:rPr>
        <w:t>Advanced Search which includes searching by dates or locations.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90</w:t>
      </w:r>
    </w:p>
    <w:p w:rsidR="00FF696A" w:rsidRPr="00FF696A" w:rsidRDefault="00FF696A" w:rsidP="00FF696A">
      <w:pPr>
        <w:spacing w:after="0"/>
        <w:rPr>
          <w:rFonts w:cstheme="minorHAnsi"/>
          <w:kern w:val="24"/>
        </w:rPr>
      </w:pPr>
      <w:r w:rsidRPr="00FF696A">
        <w:rPr>
          <w:rFonts w:cstheme="minorHAnsi"/>
          <w:kern w:val="24"/>
        </w:rPr>
        <w:t>If the workers are part of the petitioning worker group, it is best to file a petition on the worker group’s behalf.  The Petitions TA section provides information on filing petitions.  It also has more specific information on specialized situations such as successor-in-interest and International Trade Commission (ITC) decisions.</w:t>
      </w:r>
    </w:p>
    <w:p w:rsidR="00FF696A" w:rsidRDefault="00FF696A" w:rsidP="00FF696A">
      <w:pPr>
        <w:spacing w:after="0" w:line="360" w:lineRule="auto"/>
        <w:rPr>
          <w:rFonts w:cstheme="minorHAnsi"/>
          <w:b/>
        </w:rPr>
      </w:pPr>
    </w:p>
    <w:p w:rsidR="00FF696A" w:rsidRPr="008C1AE0" w:rsidRDefault="00FF696A" w:rsidP="00FF696A">
      <w:pPr>
        <w:spacing w:after="0" w:line="360" w:lineRule="auto"/>
        <w:rPr>
          <w:rFonts w:cstheme="minorHAnsi"/>
          <w:b/>
        </w:rPr>
      </w:pPr>
      <w:r w:rsidRPr="008C1AE0">
        <w:rPr>
          <w:rFonts w:cstheme="minorHAnsi"/>
          <w:b/>
        </w:rPr>
        <w:t xml:space="preserve">Slide </w:t>
      </w:r>
      <w:r>
        <w:rPr>
          <w:rFonts w:cstheme="minorHAnsi"/>
          <w:b/>
        </w:rPr>
        <w:t>91</w:t>
      </w:r>
    </w:p>
    <w:p w:rsidR="00FF696A" w:rsidRPr="00AA298F" w:rsidRDefault="00FF696A" w:rsidP="00FF696A">
      <w:pPr>
        <w:spacing w:after="0"/>
        <w:rPr>
          <w:rFonts w:cstheme="minorHAnsi"/>
          <w:kern w:val="24"/>
        </w:rPr>
      </w:pPr>
      <w:r w:rsidRPr="00AA298F">
        <w:rPr>
          <w:rFonts w:cstheme="minorHAnsi"/>
          <w:kern w:val="24"/>
        </w:rPr>
        <w:t>The webinars page has a series of webinars, broken into sections by topic including petition filing, case management, and many more.</w:t>
      </w:r>
    </w:p>
    <w:p w:rsidR="00FF696A" w:rsidRPr="00434E44" w:rsidRDefault="00FF696A" w:rsidP="00FF696A">
      <w:pPr>
        <w:spacing w:after="0"/>
        <w:rPr>
          <w:rFonts w:cstheme="minorHAnsi"/>
        </w:rPr>
      </w:pPr>
    </w:p>
    <w:p w:rsidR="00FF696A" w:rsidRPr="008C1AE0" w:rsidRDefault="00FF696A" w:rsidP="00FF696A">
      <w:pPr>
        <w:spacing w:after="0" w:line="360" w:lineRule="auto"/>
        <w:rPr>
          <w:rFonts w:cstheme="minorHAnsi"/>
          <w:b/>
        </w:rPr>
      </w:pPr>
      <w:r>
        <w:rPr>
          <w:rFonts w:cstheme="minorHAnsi"/>
          <w:b/>
        </w:rPr>
        <w:t>Slide 92</w:t>
      </w:r>
    </w:p>
    <w:p w:rsidR="00FF696A" w:rsidRPr="00AA298F" w:rsidRDefault="00FF696A" w:rsidP="00FF696A">
      <w:pPr>
        <w:spacing w:after="0"/>
        <w:rPr>
          <w:rFonts w:cstheme="minorHAnsi"/>
          <w:kern w:val="24"/>
        </w:rPr>
      </w:pPr>
      <w:r w:rsidRPr="00AA298F">
        <w:rPr>
          <w:rFonts w:cstheme="minorHAnsi"/>
          <w:kern w:val="24"/>
        </w:rPr>
        <w:t>Webinars are also found on WorkforceGPS.  Go to the “Events” section to view upcoming and past events.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93</w:t>
      </w:r>
    </w:p>
    <w:p w:rsidR="00B05B73" w:rsidRPr="00B05B73" w:rsidRDefault="00B05B73" w:rsidP="00B05B73">
      <w:pPr>
        <w:spacing w:after="0"/>
        <w:rPr>
          <w:rFonts w:cstheme="minorHAnsi"/>
          <w:kern w:val="24"/>
        </w:rPr>
      </w:pPr>
      <w:r w:rsidRPr="00B05B73">
        <w:rPr>
          <w:rFonts w:cstheme="minorHAnsi"/>
          <w:kern w:val="24"/>
        </w:rPr>
        <w:t>To read about TAA Participants and their journeys in the TAA Program, take a look at the Success Stories section.</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94</w:t>
      </w:r>
    </w:p>
    <w:p w:rsidR="00370765" w:rsidRPr="00370765" w:rsidRDefault="00370765" w:rsidP="00370765">
      <w:pPr>
        <w:spacing w:after="0"/>
        <w:rPr>
          <w:rFonts w:cstheme="minorHAnsi"/>
          <w:kern w:val="24"/>
        </w:rPr>
      </w:pPr>
      <w:r w:rsidRPr="00370765">
        <w:rPr>
          <w:rFonts w:cstheme="minorHAnsi"/>
          <w:kern w:val="24"/>
        </w:rPr>
        <w:t>If you have additional questions about resources or navigating the applicable webpages, please reach out to us at the information provided here.</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95</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Reporting is an integral piece of running the TAA Program.  And admittedly, some of the reporting can be complicated.  This section has resources to support accurate reporting and to get your questions answered.</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96</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first resource to point out is the TAA Reporting Overview Webcast, found on the webinars page, under Participant Reporting.  Review this webcast to learn about reports used in the TAA Program, their purposes, reporting timelines, and resource locations.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97</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The participant reporting page is the go-to place for information on data quality, </w:t>
      </w:r>
      <w:r w:rsidR="00A32FC5" w:rsidRPr="00434E44">
        <w:rPr>
          <w:rFonts w:cstheme="minorHAnsi"/>
          <w:kern w:val="24"/>
        </w:rPr>
        <w:t>TAA Data Integrity</w:t>
      </w:r>
      <w:r w:rsidR="00A32FC5" w:rsidRPr="00434E44">
        <w:rPr>
          <w:rFonts w:cstheme="minorHAnsi"/>
          <w:kern w:val="24"/>
        </w:rPr>
        <w:t xml:space="preserve"> </w:t>
      </w:r>
      <w:r w:rsidR="00A32FC5">
        <w:rPr>
          <w:rFonts w:cstheme="minorHAnsi"/>
          <w:kern w:val="24"/>
        </w:rPr>
        <w:t>(</w:t>
      </w:r>
      <w:r w:rsidRPr="00434E44">
        <w:rPr>
          <w:rFonts w:cstheme="minorHAnsi"/>
          <w:kern w:val="24"/>
        </w:rPr>
        <w:t>TAADI</w:t>
      </w:r>
      <w:r w:rsidR="00A32FC5">
        <w:rPr>
          <w:rFonts w:cstheme="minorHAnsi"/>
          <w:kern w:val="24"/>
        </w:rPr>
        <w:t>)</w:t>
      </w:r>
      <w:r w:rsidRPr="00434E44">
        <w:rPr>
          <w:rFonts w:cstheme="minorHAnsi"/>
          <w:kern w:val="24"/>
        </w:rPr>
        <w:t>, and Frequently Asked Questions.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98</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The Financial Reporting section has information on financial data quality, the allocation process, and requesting additional funds.</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99</w:t>
      </w:r>
    </w:p>
    <w:p w:rsidR="00C13BF2" w:rsidRPr="00434E44" w:rsidRDefault="00C13BF2" w:rsidP="00434E44">
      <w:pPr>
        <w:autoSpaceDE w:val="0"/>
        <w:autoSpaceDN w:val="0"/>
        <w:adjustRightInd w:val="0"/>
        <w:spacing w:after="0" w:line="240" w:lineRule="auto"/>
        <w:rPr>
          <w:rFonts w:cstheme="minorHAnsi"/>
          <w:kern w:val="24"/>
        </w:rPr>
      </w:pPr>
      <w:r w:rsidRPr="00434E44">
        <w:rPr>
          <w:rFonts w:cstheme="minorHAnsi"/>
          <w:kern w:val="24"/>
        </w:rPr>
        <w:t xml:space="preserve">Finally, under data, there is downloadable petition data.  This is what is used in the Petition Number TAA Data Integrity (TAADI) measure.  </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100</w:t>
      </w:r>
    </w:p>
    <w:p w:rsidR="00370765" w:rsidRPr="00370765" w:rsidRDefault="00370765" w:rsidP="00370765">
      <w:pPr>
        <w:spacing w:after="0"/>
        <w:rPr>
          <w:rFonts w:cstheme="minorHAnsi"/>
          <w:kern w:val="24"/>
        </w:rPr>
      </w:pPr>
      <w:r w:rsidRPr="00370765">
        <w:rPr>
          <w:rFonts w:cstheme="minorHAnsi"/>
          <w:kern w:val="24"/>
        </w:rPr>
        <w:t>If you have additional questions about resources or navigating the applicable webpages, please reach out to us at the information provided here.</w:t>
      </w:r>
    </w:p>
    <w:p w:rsidR="00C13BF2" w:rsidRPr="00434E44" w:rsidRDefault="00C13BF2" w:rsidP="00434E44">
      <w:pPr>
        <w:spacing w:after="0"/>
        <w:rPr>
          <w:rFonts w:cstheme="minorHAnsi"/>
        </w:rPr>
      </w:pPr>
    </w:p>
    <w:p w:rsidR="00C13BF2" w:rsidRPr="008C1AE0" w:rsidRDefault="00C13BF2" w:rsidP="00434E44">
      <w:pPr>
        <w:spacing w:after="0" w:line="360" w:lineRule="auto"/>
        <w:rPr>
          <w:rFonts w:cstheme="minorHAnsi"/>
          <w:b/>
        </w:rPr>
      </w:pPr>
      <w:r w:rsidRPr="008C1AE0">
        <w:rPr>
          <w:rFonts w:cstheme="minorHAnsi"/>
          <w:b/>
        </w:rPr>
        <w:t>Slide 101</w:t>
      </w:r>
    </w:p>
    <w:p w:rsidR="00C13BF2" w:rsidRPr="00434E44" w:rsidRDefault="00C13BF2" w:rsidP="007B44D0">
      <w:r w:rsidRPr="00434E44">
        <w:t>Thank you for viewing this webcast and for your interest in the TAA Program.</w:t>
      </w:r>
    </w:p>
    <w:sectPr w:rsidR="00C13BF2" w:rsidRPr="0043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60A806"/>
    <w:lvl w:ilvl="0">
      <w:numFmt w:val="bullet"/>
      <w:lvlText w:val="*"/>
      <w:lvlJc w:val="left"/>
    </w:lvl>
  </w:abstractNum>
  <w:abstractNum w:abstractNumId="1" w15:restartNumberingAfterBreak="0">
    <w:nsid w:val="50E63E5E"/>
    <w:multiLevelType w:val="hybridMultilevel"/>
    <w:tmpl w:val="8690C548"/>
    <w:lvl w:ilvl="0" w:tplc="0409000F">
      <w:start w:val="1"/>
      <w:numFmt w:val="decimal"/>
      <w:lvlText w:val="%1."/>
      <w:lvlJc w:val="left"/>
      <w:pPr>
        <w:tabs>
          <w:tab w:val="num" w:pos="720"/>
        </w:tabs>
        <w:ind w:left="720" w:hanging="360"/>
      </w:pPr>
      <w:rPr>
        <w:rFonts w:hint="default"/>
      </w:rPr>
    </w:lvl>
    <w:lvl w:ilvl="1" w:tplc="58229742" w:tentative="1">
      <w:start w:val="1"/>
      <w:numFmt w:val="decimal"/>
      <w:lvlText w:val="%2."/>
      <w:lvlJc w:val="left"/>
      <w:pPr>
        <w:tabs>
          <w:tab w:val="num" w:pos="1440"/>
        </w:tabs>
        <w:ind w:left="1440" w:hanging="360"/>
      </w:pPr>
    </w:lvl>
    <w:lvl w:ilvl="2" w:tplc="4C084350" w:tentative="1">
      <w:start w:val="1"/>
      <w:numFmt w:val="decimal"/>
      <w:lvlText w:val="%3."/>
      <w:lvlJc w:val="left"/>
      <w:pPr>
        <w:tabs>
          <w:tab w:val="num" w:pos="2160"/>
        </w:tabs>
        <w:ind w:left="2160" w:hanging="360"/>
      </w:pPr>
    </w:lvl>
    <w:lvl w:ilvl="3" w:tplc="E11A5C74" w:tentative="1">
      <w:start w:val="1"/>
      <w:numFmt w:val="decimal"/>
      <w:lvlText w:val="%4."/>
      <w:lvlJc w:val="left"/>
      <w:pPr>
        <w:tabs>
          <w:tab w:val="num" w:pos="2880"/>
        </w:tabs>
        <w:ind w:left="2880" w:hanging="360"/>
      </w:pPr>
    </w:lvl>
    <w:lvl w:ilvl="4" w:tplc="3F483FBA" w:tentative="1">
      <w:start w:val="1"/>
      <w:numFmt w:val="decimal"/>
      <w:lvlText w:val="%5."/>
      <w:lvlJc w:val="left"/>
      <w:pPr>
        <w:tabs>
          <w:tab w:val="num" w:pos="3600"/>
        </w:tabs>
        <w:ind w:left="3600" w:hanging="360"/>
      </w:pPr>
    </w:lvl>
    <w:lvl w:ilvl="5" w:tplc="2D4E7316" w:tentative="1">
      <w:start w:val="1"/>
      <w:numFmt w:val="decimal"/>
      <w:lvlText w:val="%6."/>
      <w:lvlJc w:val="left"/>
      <w:pPr>
        <w:tabs>
          <w:tab w:val="num" w:pos="4320"/>
        </w:tabs>
        <w:ind w:left="4320" w:hanging="360"/>
      </w:pPr>
    </w:lvl>
    <w:lvl w:ilvl="6" w:tplc="7C88DF02" w:tentative="1">
      <w:start w:val="1"/>
      <w:numFmt w:val="decimal"/>
      <w:lvlText w:val="%7."/>
      <w:lvlJc w:val="left"/>
      <w:pPr>
        <w:tabs>
          <w:tab w:val="num" w:pos="5040"/>
        </w:tabs>
        <w:ind w:left="5040" w:hanging="360"/>
      </w:pPr>
    </w:lvl>
    <w:lvl w:ilvl="7" w:tplc="EB2CB574" w:tentative="1">
      <w:start w:val="1"/>
      <w:numFmt w:val="decimal"/>
      <w:lvlText w:val="%8."/>
      <w:lvlJc w:val="left"/>
      <w:pPr>
        <w:tabs>
          <w:tab w:val="num" w:pos="5760"/>
        </w:tabs>
        <w:ind w:left="5760" w:hanging="360"/>
      </w:pPr>
    </w:lvl>
    <w:lvl w:ilvl="8" w:tplc="DA70B3DA" w:tentative="1">
      <w:start w:val="1"/>
      <w:numFmt w:val="decimal"/>
      <w:lvlText w:val="%9."/>
      <w:lvlJc w:val="left"/>
      <w:pPr>
        <w:tabs>
          <w:tab w:val="num" w:pos="6480"/>
        </w:tabs>
        <w:ind w:left="6480" w:hanging="360"/>
      </w:pPr>
    </w:lvl>
  </w:abstractNum>
  <w:abstractNum w:abstractNumId="2" w15:restartNumberingAfterBreak="0">
    <w:nsid w:val="65A94FBB"/>
    <w:multiLevelType w:val="hybridMultilevel"/>
    <w:tmpl w:val="E93C4B52"/>
    <w:lvl w:ilvl="0" w:tplc="EAEAD4C6">
      <w:start w:val="1"/>
      <w:numFmt w:val="decimal"/>
      <w:lvlText w:val="%1."/>
      <w:lvlJc w:val="left"/>
      <w:pPr>
        <w:tabs>
          <w:tab w:val="num" w:pos="720"/>
        </w:tabs>
        <w:ind w:left="720" w:hanging="360"/>
      </w:pPr>
    </w:lvl>
    <w:lvl w:ilvl="1" w:tplc="58229742" w:tentative="1">
      <w:start w:val="1"/>
      <w:numFmt w:val="decimal"/>
      <w:lvlText w:val="%2."/>
      <w:lvlJc w:val="left"/>
      <w:pPr>
        <w:tabs>
          <w:tab w:val="num" w:pos="1440"/>
        </w:tabs>
        <w:ind w:left="1440" w:hanging="360"/>
      </w:pPr>
    </w:lvl>
    <w:lvl w:ilvl="2" w:tplc="4C084350" w:tentative="1">
      <w:start w:val="1"/>
      <w:numFmt w:val="decimal"/>
      <w:lvlText w:val="%3."/>
      <w:lvlJc w:val="left"/>
      <w:pPr>
        <w:tabs>
          <w:tab w:val="num" w:pos="2160"/>
        </w:tabs>
        <w:ind w:left="2160" w:hanging="360"/>
      </w:pPr>
    </w:lvl>
    <w:lvl w:ilvl="3" w:tplc="E11A5C74" w:tentative="1">
      <w:start w:val="1"/>
      <w:numFmt w:val="decimal"/>
      <w:lvlText w:val="%4."/>
      <w:lvlJc w:val="left"/>
      <w:pPr>
        <w:tabs>
          <w:tab w:val="num" w:pos="2880"/>
        </w:tabs>
        <w:ind w:left="2880" w:hanging="360"/>
      </w:pPr>
    </w:lvl>
    <w:lvl w:ilvl="4" w:tplc="3F483FBA" w:tentative="1">
      <w:start w:val="1"/>
      <w:numFmt w:val="decimal"/>
      <w:lvlText w:val="%5."/>
      <w:lvlJc w:val="left"/>
      <w:pPr>
        <w:tabs>
          <w:tab w:val="num" w:pos="3600"/>
        </w:tabs>
        <w:ind w:left="3600" w:hanging="360"/>
      </w:pPr>
    </w:lvl>
    <w:lvl w:ilvl="5" w:tplc="2D4E7316" w:tentative="1">
      <w:start w:val="1"/>
      <w:numFmt w:val="decimal"/>
      <w:lvlText w:val="%6."/>
      <w:lvlJc w:val="left"/>
      <w:pPr>
        <w:tabs>
          <w:tab w:val="num" w:pos="4320"/>
        </w:tabs>
        <w:ind w:left="4320" w:hanging="360"/>
      </w:pPr>
    </w:lvl>
    <w:lvl w:ilvl="6" w:tplc="7C88DF02" w:tentative="1">
      <w:start w:val="1"/>
      <w:numFmt w:val="decimal"/>
      <w:lvlText w:val="%7."/>
      <w:lvlJc w:val="left"/>
      <w:pPr>
        <w:tabs>
          <w:tab w:val="num" w:pos="5040"/>
        </w:tabs>
        <w:ind w:left="5040" w:hanging="360"/>
      </w:pPr>
    </w:lvl>
    <w:lvl w:ilvl="7" w:tplc="EB2CB574" w:tentative="1">
      <w:start w:val="1"/>
      <w:numFmt w:val="decimal"/>
      <w:lvlText w:val="%8."/>
      <w:lvlJc w:val="left"/>
      <w:pPr>
        <w:tabs>
          <w:tab w:val="num" w:pos="5760"/>
        </w:tabs>
        <w:ind w:left="5760" w:hanging="360"/>
      </w:pPr>
    </w:lvl>
    <w:lvl w:ilvl="8" w:tplc="DA70B3DA" w:tentative="1">
      <w:start w:val="1"/>
      <w:numFmt w:val="decimal"/>
      <w:lvlText w:val="%9."/>
      <w:lvlJc w:val="left"/>
      <w:pPr>
        <w:tabs>
          <w:tab w:val="num" w:pos="6480"/>
        </w:tabs>
        <w:ind w:left="6480" w:hanging="360"/>
      </w:pPr>
    </w:lvl>
  </w:abstractNum>
  <w:abstractNum w:abstractNumId="3" w15:restartNumberingAfterBreak="0">
    <w:nsid w:val="68861D82"/>
    <w:multiLevelType w:val="hybridMultilevel"/>
    <w:tmpl w:val="97A64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Calibri" w:hAnsi="Calibri" w:cs="Calibri" w:hint="default"/>
          <w:sz w:val="24"/>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F2"/>
    <w:rsid w:val="001B6304"/>
    <w:rsid w:val="00287042"/>
    <w:rsid w:val="002A7ACE"/>
    <w:rsid w:val="00370765"/>
    <w:rsid w:val="00397EF1"/>
    <w:rsid w:val="00434E44"/>
    <w:rsid w:val="00460CB2"/>
    <w:rsid w:val="004C06AC"/>
    <w:rsid w:val="005F1174"/>
    <w:rsid w:val="006E2472"/>
    <w:rsid w:val="007B44D0"/>
    <w:rsid w:val="008C1AE0"/>
    <w:rsid w:val="00951542"/>
    <w:rsid w:val="00A32FC5"/>
    <w:rsid w:val="00A6357F"/>
    <w:rsid w:val="00A75C8E"/>
    <w:rsid w:val="00AA0392"/>
    <w:rsid w:val="00AA298F"/>
    <w:rsid w:val="00B02098"/>
    <w:rsid w:val="00B05B73"/>
    <w:rsid w:val="00BB2B01"/>
    <w:rsid w:val="00C13BF2"/>
    <w:rsid w:val="00CD7BBE"/>
    <w:rsid w:val="00E74AF8"/>
    <w:rsid w:val="00EB55DF"/>
    <w:rsid w:val="00EC55F7"/>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038A"/>
  <w15:chartTrackingRefBased/>
  <w15:docId w15:val="{0B227B61-B34A-49FE-9F12-275F9D93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06">
      <w:bodyDiv w:val="1"/>
      <w:marLeft w:val="0"/>
      <w:marRight w:val="0"/>
      <w:marTop w:val="0"/>
      <w:marBottom w:val="0"/>
      <w:divBdr>
        <w:top w:val="none" w:sz="0" w:space="0" w:color="auto"/>
        <w:left w:val="none" w:sz="0" w:space="0" w:color="auto"/>
        <w:bottom w:val="none" w:sz="0" w:space="0" w:color="auto"/>
        <w:right w:val="none" w:sz="0" w:space="0" w:color="auto"/>
      </w:divBdr>
    </w:div>
    <w:div w:id="9334001">
      <w:bodyDiv w:val="1"/>
      <w:marLeft w:val="0"/>
      <w:marRight w:val="0"/>
      <w:marTop w:val="0"/>
      <w:marBottom w:val="0"/>
      <w:divBdr>
        <w:top w:val="none" w:sz="0" w:space="0" w:color="auto"/>
        <w:left w:val="none" w:sz="0" w:space="0" w:color="auto"/>
        <w:bottom w:val="none" w:sz="0" w:space="0" w:color="auto"/>
        <w:right w:val="none" w:sz="0" w:space="0" w:color="auto"/>
      </w:divBdr>
    </w:div>
    <w:div w:id="50230585">
      <w:bodyDiv w:val="1"/>
      <w:marLeft w:val="0"/>
      <w:marRight w:val="0"/>
      <w:marTop w:val="0"/>
      <w:marBottom w:val="0"/>
      <w:divBdr>
        <w:top w:val="none" w:sz="0" w:space="0" w:color="auto"/>
        <w:left w:val="none" w:sz="0" w:space="0" w:color="auto"/>
        <w:bottom w:val="none" w:sz="0" w:space="0" w:color="auto"/>
        <w:right w:val="none" w:sz="0" w:space="0" w:color="auto"/>
      </w:divBdr>
    </w:div>
    <w:div w:id="92286554">
      <w:bodyDiv w:val="1"/>
      <w:marLeft w:val="0"/>
      <w:marRight w:val="0"/>
      <w:marTop w:val="0"/>
      <w:marBottom w:val="0"/>
      <w:divBdr>
        <w:top w:val="none" w:sz="0" w:space="0" w:color="auto"/>
        <w:left w:val="none" w:sz="0" w:space="0" w:color="auto"/>
        <w:bottom w:val="none" w:sz="0" w:space="0" w:color="auto"/>
        <w:right w:val="none" w:sz="0" w:space="0" w:color="auto"/>
      </w:divBdr>
      <w:divsChild>
        <w:div w:id="1787653724">
          <w:marLeft w:val="360"/>
          <w:marRight w:val="0"/>
          <w:marTop w:val="0"/>
          <w:marBottom w:val="0"/>
          <w:divBdr>
            <w:top w:val="none" w:sz="0" w:space="0" w:color="auto"/>
            <w:left w:val="none" w:sz="0" w:space="0" w:color="auto"/>
            <w:bottom w:val="none" w:sz="0" w:space="0" w:color="auto"/>
            <w:right w:val="none" w:sz="0" w:space="0" w:color="auto"/>
          </w:divBdr>
        </w:div>
        <w:div w:id="1750156940">
          <w:marLeft w:val="360"/>
          <w:marRight w:val="0"/>
          <w:marTop w:val="0"/>
          <w:marBottom w:val="0"/>
          <w:divBdr>
            <w:top w:val="none" w:sz="0" w:space="0" w:color="auto"/>
            <w:left w:val="none" w:sz="0" w:space="0" w:color="auto"/>
            <w:bottom w:val="none" w:sz="0" w:space="0" w:color="auto"/>
            <w:right w:val="none" w:sz="0" w:space="0" w:color="auto"/>
          </w:divBdr>
        </w:div>
      </w:divsChild>
    </w:div>
    <w:div w:id="154150507">
      <w:bodyDiv w:val="1"/>
      <w:marLeft w:val="0"/>
      <w:marRight w:val="0"/>
      <w:marTop w:val="0"/>
      <w:marBottom w:val="0"/>
      <w:divBdr>
        <w:top w:val="none" w:sz="0" w:space="0" w:color="auto"/>
        <w:left w:val="none" w:sz="0" w:space="0" w:color="auto"/>
        <w:bottom w:val="none" w:sz="0" w:space="0" w:color="auto"/>
        <w:right w:val="none" w:sz="0" w:space="0" w:color="auto"/>
      </w:divBdr>
    </w:div>
    <w:div w:id="162556003">
      <w:bodyDiv w:val="1"/>
      <w:marLeft w:val="0"/>
      <w:marRight w:val="0"/>
      <w:marTop w:val="0"/>
      <w:marBottom w:val="0"/>
      <w:divBdr>
        <w:top w:val="none" w:sz="0" w:space="0" w:color="auto"/>
        <w:left w:val="none" w:sz="0" w:space="0" w:color="auto"/>
        <w:bottom w:val="none" w:sz="0" w:space="0" w:color="auto"/>
        <w:right w:val="none" w:sz="0" w:space="0" w:color="auto"/>
      </w:divBdr>
    </w:div>
    <w:div w:id="265383960">
      <w:bodyDiv w:val="1"/>
      <w:marLeft w:val="0"/>
      <w:marRight w:val="0"/>
      <w:marTop w:val="0"/>
      <w:marBottom w:val="0"/>
      <w:divBdr>
        <w:top w:val="none" w:sz="0" w:space="0" w:color="auto"/>
        <w:left w:val="none" w:sz="0" w:space="0" w:color="auto"/>
        <w:bottom w:val="none" w:sz="0" w:space="0" w:color="auto"/>
        <w:right w:val="none" w:sz="0" w:space="0" w:color="auto"/>
      </w:divBdr>
    </w:div>
    <w:div w:id="422075247">
      <w:bodyDiv w:val="1"/>
      <w:marLeft w:val="0"/>
      <w:marRight w:val="0"/>
      <w:marTop w:val="0"/>
      <w:marBottom w:val="0"/>
      <w:divBdr>
        <w:top w:val="none" w:sz="0" w:space="0" w:color="auto"/>
        <w:left w:val="none" w:sz="0" w:space="0" w:color="auto"/>
        <w:bottom w:val="none" w:sz="0" w:space="0" w:color="auto"/>
        <w:right w:val="none" w:sz="0" w:space="0" w:color="auto"/>
      </w:divBdr>
    </w:div>
    <w:div w:id="508327369">
      <w:bodyDiv w:val="1"/>
      <w:marLeft w:val="0"/>
      <w:marRight w:val="0"/>
      <w:marTop w:val="0"/>
      <w:marBottom w:val="0"/>
      <w:divBdr>
        <w:top w:val="none" w:sz="0" w:space="0" w:color="auto"/>
        <w:left w:val="none" w:sz="0" w:space="0" w:color="auto"/>
        <w:bottom w:val="none" w:sz="0" w:space="0" w:color="auto"/>
        <w:right w:val="none" w:sz="0" w:space="0" w:color="auto"/>
      </w:divBdr>
    </w:div>
    <w:div w:id="662584584">
      <w:bodyDiv w:val="1"/>
      <w:marLeft w:val="0"/>
      <w:marRight w:val="0"/>
      <w:marTop w:val="0"/>
      <w:marBottom w:val="0"/>
      <w:divBdr>
        <w:top w:val="none" w:sz="0" w:space="0" w:color="auto"/>
        <w:left w:val="none" w:sz="0" w:space="0" w:color="auto"/>
        <w:bottom w:val="none" w:sz="0" w:space="0" w:color="auto"/>
        <w:right w:val="none" w:sz="0" w:space="0" w:color="auto"/>
      </w:divBdr>
    </w:div>
    <w:div w:id="731198534">
      <w:bodyDiv w:val="1"/>
      <w:marLeft w:val="0"/>
      <w:marRight w:val="0"/>
      <w:marTop w:val="0"/>
      <w:marBottom w:val="0"/>
      <w:divBdr>
        <w:top w:val="none" w:sz="0" w:space="0" w:color="auto"/>
        <w:left w:val="none" w:sz="0" w:space="0" w:color="auto"/>
        <w:bottom w:val="none" w:sz="0" w:space="0" w:color="auto"/>
        <w:right w:val="none" w:sz="0" w:space="0" w:color="auto"/>
      </w:divBdr>
    </w:div>
    <w:div w:id="732200128">
      <w:bodyDiv w:val="1"/>
      <w:marLeft w:val="0"/>
      <w:marRight w:val="0"/>
      <w:marTop w:val="0"/>
      <w:marBottom w:val="0"/>
      <w:divBdr>
        <w:top w:val="none" w:sz="0" w:space="0" w:color="auto"/>
        <w:left w:val="none" w:sz="0" w:space="0" w:color="auto"/>
        <w:bottom w:val="none" w:sz="0" w:space="0" w:color="auto"/>
        <w:right w:val="none" w:sz="0" w:space="0" w:color="auto"/>
      </w:divBdr>
    </w:div>
    <w:div w:id="863784247">
      <w:bodyDiv w:val="1"/>
      <w:marLeft w:val="0"/>
      <w:marRight w:val="0"/>
      <w:marTop w:val="0"/>
      <w:marBottom w:val="0"/>
      <w:divBdr>
        <w:top w:val="none" w:sz="0" w:space="0" w:color="auto"/>
        <w:left w:val="none" w:sz="0" w:space="0" w:color="auto"/>
        <w:bottom w:val="none" w:sz="0" w:space="0" w:color="auto"/>
        <w:right w:val="none" w:sz="0" w:space="0" w:color="auto"/>
      </w:divBdr>
    </w:div>
    <w:div w:id="983050877">
      <w:bodyDiv w:val="1"/>
      <w:marLeft w:val="0"/>
      <w:marRight w:val="0"/>
      <w:marTop w:val="0"/>
      <w:marBottom w:val="0"/>
      <w:divBdr>
        <w:top w:val="none" w:sz="0" w:space="0" w:color="auto"/>
        <w:left w:val="none" w:sz="0" w:space="0" w:color="auto"/>
        <w:bottom w:val="none" w:sz="0" w:space="0" w:color="auto"/>
        <w:right w:val="none" w:sz="0" w:space="0" w:color="auto"/>
      </w:divBdr>
    </w:div>
    <w:div w:id="1019770717">
      <w:bodyDiv w:val="1"/>
      <w:marLeft w:val="0"/>
      <w:marRight w:val="0"/>
      <w:marTop w:val="0"/>
      <w:marBottom w:val="0"/>
      <w:divBdr>
        <w:top w:val="none" w:sz="0" w:space="0" w:color="auto"/>
        <w:left w:val="none" w:sz="0" w:space="0" w:color="auto"/>
        <w:bottom w:val="none" w:sz="0" w:space="0" w:color="auto"/>
        <w:right w:val="none" w:sz="0" w:space="0" w:color="auto"/>
      </w:divBdr>
    </w:div>
    <w:div w:id="1028142580">
      <w:bodyDiv w:val="1"/>
      <w:marLeft w:val="0"/>
      <w:marRight w:val="0"/>
      <w:marTop w:val="0"/>
      <w:marBottom w:val="0"/>
      <w:divBdr>
        <w:top w:val="none" w:sz="0" w:space="0" w:color="auto"/>
        <w:left w:val="none" w:sz="0" w:space="0" w:color="auto"/>
        <w:bottom w:val="none" w:sz="0" w:space="0" w:color="auto"/>
        <w:right w:val="none" w:sz="0" w:space="0" w:color="auto"/>
      </w:divBdr>
      <w:divsChild>
        <w:div w:id="1394816923">
          <w:marLeft w:val="360"/>
          <w:marRight w:val="0"/>
          <w:marTop w:val="0"/>
          <w:marBottom w:val="0"/>
          <w:divBdr>
            <w:top w:val="none" w:sz="0" w:space="0" w:color="auto"/>
            <w:left w:val="none" w:sz="0" w:space="0" w:color="auto"/>
            <w:bottom w:val="none" w:sz="0" w:space="0" w:color="auto"/>
            <w:right w:val="none" w:sz="0" w:space="0" w:color="auto"/>
          </w:divBdr>
        </w:div>
        <w:div w:id="1167935481">
          <w:marLeft w:val="360"/>
          <w:marRight w:val="0"/>
          <w:marTop w:val="0"/>
          <w:marBottom w:val="0"/>
          <w:divBdr>
            <w:top w:val="none" w:sz="0" w:space="0" w:color="auto"/>
            <w:left w:val="none" w:sz="0" w:space="0" w:color="auto"/>
            <w:bottom w:val="none" w:sz="0" w:space="0" w:color="auto"/>
            <w:right w:val="none" w:sz="0" w:space="0" w:color="auto"/>
          </w:divBdr>
        </w:div>
      </w:divsChild>
    </w:div>
    <w:div w:id="1248921579">
      <w:bodyDiv w:val="1"/>
      <w:marLeft w:val="0"/>
      <w:marRight w:val="0"/>
      <w:marTop w:val="0"/>
      <w:marBottom w:val="0"/>
      <w:divBdr>
        <w:top w:val="none" w:sz="0" w:space="0" w:color="auto"/>
        <w:left w:val="none" w:sz="0" w:space="0" w:color="auto"/>
        <w:bottom w:val="none" w:sz="0" w:space="0" w:color="auto"/>
        <w:right w:val="none" w:sz="0" w:space="0" w:color="auto"/>
      </w:divBdr>
    </w:div>
    <w:div w:id="1497333038">
      <w:bodyDiv w:val="1"/>
      <w:marLeft w:val="0"/>
      <w:marRight w:val="0"/>
      <w:marTop w:val="0"/>
      <w:marBottom w:val="0"/>
      <w:divBdr>
        <w:top w:val="none" w:sz="0" w:space="0" w:color="auto"/>
        <w:left w:val="none" w:sz="0" w:space="0" w:color="auto"/>
        <w:bottom w:val="none" w:sz="0" w:space="0" w:color="auto"/>
        <w:right w:val="none" w:sz="0" w:space="0" w:color="auto"/>
      </w:divBdr>
    </w:div>
    <w:div w:id="1571845827">
      <w:bodyDiv w:val="1"/>
      <w:marLeft w:val="0"/>
      <w:marRight w:val="0"/>
      <w:marTop w:val="0"/>
      <w:marBottom w:val="0"/>
      <w:divBdr>
        <w:top w:val="none" w:sz="0" w:space="0" w:color="auto"/>
        <w:left w:val="none" w:sz="0" w:space="0" w:color="auto"/>
        <w:bottom w:val="none" w:sz="0" w:space="0" w:color="auto"/>
        <w:right w:val="none" w:sz="0" w:space="0" w:color="auto"/>
      </w:divBdr>
    </w:div>
    <w:div w:id="1594583958">
      <w:bodyDiv w:val="1"/>
      <w:marLeft w:val="0"/>
      <w:marRight w:val="0"/>
      <w:marTop w:val="0"/>
      <w:marBottom w:val="0"/>
      <w:divBdr>
        <w:top w:val="none" w:sz="0" w:space="0" w:color="auto"/>
        <w:left w:val="none" w:sz="0" w:space="0" w:color="auto"/>
        <w:bottom w:val="none" w:sz="0" w:space="0" w:color="auto"/>
        <w:right w:val="none" w:sz="0" w:space="0" w:color="auto"/>
      </w:divBdr>
    </w:div>
    <w:div w:id="1600674286">
      <w:bodyDiv w:val="1"/>
      <w:marLeft w:val="0"/>
      <w:marRight w:val="0"/>
      <w:marTop w:val="0"/>
      <w:marBottom w:val="0"/>
      <w:divBdr>
        <w:top w:val="none" w:sz="0" w:space="0" w:color="auto"/>
        <w:left w:val="none" w:sz="0" w:space="0" w:color="auto"/>
        <w:bottom w:val="none" w:sz="0" w:space="0" w:color="auto"/>
        <w:right w:val="none" w:sz="0" w:space="0" w:color="auto"/>
      </w:divBdr>
    </w:div>
    <w:div w:id="1627924876">
      <w:bodyDiv w:val="1"/>
      <w:marLeft w:val="0"/>
      <w:marRight w:val="0"/>
      <w:marTop w:val="0"/>
      <w:marBottom w:val="0"/>
      <w:divBdr>
        <w:top w:val="none" w:sz="0" w:space="0" w:color="auto"/>
        <w:left w:val="none" w:sz="0" w:space="0" w:color="auto"/>
        <w:bottom w:val="none" w:sz="0" w:space="0" w:color="auto"/>
        <w:right w:val="none" w:sz="0" w:space="0" w:color="auto"/>
      </w:divBdr>
    </w:div>
    <w:div w:id="1703090584">
      <w:bodyDiv w:val="1"/>
      <w:marLeft w:val="0"/>
      <w:marRight w:val="0"/>
      <w:marTop w:val="0"/>
      <w:marBottom w:val="0"/>
      <w:divBdr>
        <w:top w:val="none" w:sz="0" w:space="0" w:color="auto"/>
        <w:left w:val="none" w:sz="0" w:space="0" w:color="auto"/>
        <w:bottom w:val="none" w:sz="0" w:space="0" w:color="auto"/>
        <w:right w:val="none" w:sz="0" w:space="0" w:color="auto"/>
      </w:divBdr>
    </w:div>
    <w:div w:id="1745252562">
      <w:bodyDiv w:val="1"/>
      <w:marLeft w:val="0"/>
      <w:marRight w:val="0"/>
      <w:marTop w:val="0"/>
      <w:marBottom w:val="0"/>
      <w:divBdr>
        <w:top w:val="none" w:sz="0" w:space="0" w:color="auto"/>
        <w:left w:val="none" w:sz="0" w:space="0" w:color="auto"/>
        <w:bottom w:val="none" w:sz="0" w:space="0" w:color="auto"/>
        <w:right w:val="none" w:sz="0" w:space="0" w:color="auto"/>
      </w:divBdr>
    </w:div>
    <w:div w:id="1851332356">
      <w:bodyDiv w:val="1"/>
      <w:marLeft w:val="0"/>
      <w:marRight w:val="0"/>
      <w:marTop w:val="0"/>
      <w:marBottom w:val="0"/>
      <w:divBdr>
        <w:top w:val="none" w:sz="0" w:space="0" w:color="auto"/>
        <w:left w:val="none" w:sz="0" w:space="0" w:color="auto"/>
        <w:bottom w:val="none" w:sz="0" w:space="0" w:color="auto"/>
        <w:right w:val="none" w:sz="0" w:space="0" w:color="auto"/>
      </w:divBdr>
    </w:div>
    <w:div w:id="1865286635">
      <w:bodyDiv w:val="1"/>
      <w:marLeft w:val="0"/>
      <w:marRight w:val="0"/>
      <w:marTop w:val="0"/>
      <w:marBottom w:val="0"/>
      <w:divBdr>
        <w:top w:val="none" w:sz="0" w:space="0" w:color="auto"/>
        <w:left w:val="none" w:sz="0" w:space="0" w:color="auto"/>
        <w:bottom w:val="none" w:sz="0" w:space="0" w:color="auto"/>
        <w:right w:val="none" w:sz="0" w:space="0" w:color="auto"/>
      </w:divBdr>
    </w:div>
    <w:div w:id="1993481439">
      <w:bodyDiv w:val="1"/>
      <w:marLeft w:val="0"/>
      <w:marRight w:val="0"/>
      <w:marTop w:val="0"/>
      <w:marBottom w:val="0"/>
      <w:divBdr>
        <w:top w:val="none" w:sz="0" w:space="0" w:color="auto"/>
        <w:left w:val="none" w:sz="0" w:space="0" w:color="auto"/>
        <w:bottom w:val="none" w:sz="0" w:space="0" w:color="auto"/>
        <w:right w:val="none" w:sz="0" w:space="0" w:color="auto"/>
      </w:divBdr>
    </w:div>
    <w:div w:id="2049452629">
      <w:bodyDiv w:val="1"/>
      <w:marLeft w:val="0"/>
      <w:marRight w:val="0"/>
      <w:marTop w:val="0"/>
      <w:marBottom w:val="0"/>
      <w:divBdr>
        <w:top w:val="none" w:sz="0" w:space="0" w:color="auto"/>
        <w:left w:val="none" w:sz="0" w:space="0" w:color="auto"/>
        <w:bottom w:val="none" w:sz="0" w:space="0" w:color="auto"/>
        <w:right w:val="none" w:sz="0" w:space="0" w:color="auto"/>
      </w:divBdr>
    </w:div>
    <w:div w:id="2090958536">
      <w:bodyDiv w:val="1"/>
      <w:marLeft w:val="0"/>
      <w:marRight w:val="0"/>
      <w:marTop w:val="0"/>
      <w:marBottom w:val="0"/>
      <w:divBdr>
        <w:top w:val="none" w:sz="0" w:space="0" w:color="auto"/>
        <w:left w:val="none" w:sz="0" w:space="0" w:color="auto"/>
        <w:bottom w:val="none" w:sz="0" w:space="0" w:color="auto"/>
        <w:right w:val="none" w:sz="0" w:space="0" w:color="auto"/>
      </w:divBdr>
    </w:div>
    <w:div w:id="20960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12</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Manikowski, Susan - ETA</dc:creator>
  <cp:keywords/>
  <dc:description/>
  <cp:lastModifiedBy>Manikowski, Susan - ETA</cp:lastModifiedBy>
  <cp:revision>18</cp:revision>
  <dcterms:created xsi:type="dcterms:W3CDTF">2021-04-21T20:48:00Z</dcterms:created>
  <dcterms:modified xsi:type="dcterms:W3CDTF">2021-04-22T19:15:00Z</dcterms:modified>
</cp:coreProperties>
</file>