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5F" w:rsidRDefault="003C075F" w:rsidP="00ED6906">
      <w:pPr>
        <w:spacing w:before="1320"/>
      </w:pPr>
      <w:r>
        <w:t xml:space="preserve">Dear Employer: </w:t>
      </w:r>
    </w:p>
    <w:p w:rsidR="003C075F" w:rsidRDefault="003C075F" w:rsidP="003C075F"/>
    <w:p w:rsidR="003C075F" w:rsidRDefault="003C075F" w:rsidP="003C075F">
      <w:r>
        <w:t xml:space="preserve">The worker supplying you with this letter is certified as eligible for the State of Minnesota’s On-the-Job Training (OJT) Program. This is one of the benefits available to them through the federal Trade Adjustment Assistance </w:t>
      </w:r>
      <w:r w:rsidR="003436C1">
        <w:t xml:space="preserve">Reauthorization </w:t>
      </w:r>
      <w:r>
        <w:t>Act (TAA</w:t>
      </w:r>
      <w:r w:rsidR="003436C1">
        <w:t>RA</w:t>
      </w:r>
      <w:r>
        <w:t xml:space="preserve">). </w:t>
      </w:r>
    </w:p>
    <w:p w:rsidR="003C075F" w:rsidRDefault="003C075F" w:rsidP="00ED6906">
      <w:pPr>
        <w:spacing w:before="240"/>
      </w:pPr>
      <w:r>
        <w:t xml:space="preserve">Employers participating in the OJT program use their own training system to teach the newly hired worker the knowledge and skills necessary for successful, permanent employment within their company. </w:t>
      </w:r>
    </w:p>
    <w:p w:rsidR="003C075F" w:rsidRDefault="003C075F" w:rsidP="00ED6906">
      <w:pPr>
        <w:spacing w:before="240"/>
      </w:pPr>
      <w:r>
        <w:t>As an OJT employer:</w:t>
      </w:r>
    </w:p>
    <w:p w:rsidR="003C075F" w:rsidRDefault="003C075F" w:rsidP="003C075F">
      <w:pPr>
        <w:pStyle w:val="ListParagraph"/>
        <w:numPr>
          <w:ilvl w:val="0"/>
          <w:numId w:val="7"/>
        </w:numPr>
      </w:pPr>
      <w:r>
        <w:t xml:space="preserve">You make the hiring decision </w:t>
      </w:r>
    </w:p>
    <w:p w:rsidR="003C075F" w:rsidRDefault="003C075F" w:rsidP="003C075F">
      <w:pPr>
        <w:pStyle w:val="ListParagraph"/>
        <w:numPr>
          <w:ilvl w:val="0"/>
          <w:numId w:val="7"/>
        </w:numPr>
      </w:pPr>
      <w:r>
        <w:t xml:space="preserve">You determine the job performance standards </w:t>
      </w:r>
    </w:p>
    <w:p w:rsidR="003C075F" w:rsidRDefault="003C075F" w:rsidP="003C075F">
      <w:pPr>
        <w:pStyle w:val="ListParagraph"/>
        <w:numPr>
          <w:ilvl w:val="0"/>
          <w:numId w:val="7"/>
        </w:numPr>
      </w:pPr>
      <w:r>
        <w:t>You determine which skills the employee needs to develop</w:t>
      </w:r>
    </w:p>
    <w:p w:rsidR="003C075F" w:rsidRDefault="003C075F" w:rsidP="003C075F">
      <w:pPr>
        <w:pStyle w:val="ListParagraph"/>
        <w:numPr>
          <w:ilvl w:val="0"/>
          <w:numId w:val="7"/>
        </w:numPr>
      </w:pPr>
      <w:r>
        <w:t>You receive a reimbursement of up to 50% of the trainee’s wages during the training period</w:t>
      </w:r>
    </w:p>
    <w:p w:rsidR="003C075F" w:rsidRDefault="003C075F" w:rsidP="003C075F">
      <w:pPr>
        <w:pStyle w:val="ListParagraph"/>
        <w:numPr>
          <w:ilvl w:val="0"/>
          <w:numId w:val="7"/>
        </w:numPr>
      </w:pPr>
      <w:r>
        <w:t xml:space="preserve">You receive prompt reimbursement payments </w:t>
      </w:r>
    </w:p>
    <w:p w:rsidR="003F00E6" w:rsidRDefault="003C075F" w:rsidP="003F00E6">
      <w:r>
        <w:t xml:space="preserve">This is an incentive program for employers to hire trade-affected workers over other applicants. Please note that OJT must be pre-approved and cannot be funded after the employee starts work. To learn more about the OJT program and the benefits to your company, please contact our TAA staff before you hire at (651) 259-7543 / 1 (888) 234-1330 or email </w:t>
      </w:r>
      <w:hyperlink r:id="rId8" w:history="1">
        <w:r w:rsidRPr="00F808DF">
          <w:rPr>
            <w:rStyle w:val="Hyperlink"/>
          </w:rPr>
          <w:t>deed.taa@state.mn.us</w:t>
        </w:r>
      </w:hyperlink>
      <w:r w:rsidR="003F00E6">
        <w:t xml:space="preserve">. </w:t>
      </w:r>
    </w:p>
    <w:p w:rsidR="00AB5332" w:rsidRPr="00AB5332" w:rsidRDefault="003C075F" w:rsidP="003F00E6">
      <w:bookmarkStart w:id="0" w:name="_GoBack"/>
      <w:bookmarkEnd w:id="0"/>
      <w:r>
        <w:t>Thank you for considering this individual as a future employee!</w:t>
      </w:r>
    </w:p>
    <w:sectPr w:rsidR="00AB5332" w:rsidRPr="00AB5332" w:rsidSect="003C075F">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AD" w:rsidRDefault="001E08AD" w:rsidP="00D77387">
      <w:r>
        <w:separator/>
      </w:r>
    </w:p>
  </w:endnote>
  <w:endnote w:type="continuationSeparator" w:id="0">
    <w:p w:rsidR="001E08AD" w:rsidRDefault="001E08AD" w:rsidP="00D7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7D" w:rsidRDefault="002B447D" w:rsidP="00B24C38">
    <w:pPr>
      <w:pStyle w:val="Footer"/>
      <w:jc w:val="center"/>
      <w:rPr>
        <w:color w:val="002060"/>
        <w:sz w:val="20"/>
        <w:szCs w:val="20"/>
      </w:rPr>
    </w:pPr>
  </w:p>
  <w:p w:rsidR="002B447D" w:rsidRPr="003C075F" w:rsidRDefault="002B447D" w:rsidP="00D77387">
    <w:pPr>
      <w:pStyle w:val="Footer"/>
      <w:jc w:val="center"/>
      <w:rPr>
        <w:color w:val="2F5496" w:themeColor="accent5" w:themeShade="BF"/>
        <w:sz w:val="20"/>
        <w:szCs w:val="20"/>
      </w:rPr>
    </w:pPr>
    <w:r w:rsidRPr="003C075F">
      <w:rPr>
        <w:color w:val="2F5496" w:themeColor="accent5" w:themeShade="BF"/>
        <w:sz w:val="20"/>
        <w:szCs w:val="20"/>
      </w:rPr>
      <w:t>Minnesota Department of Employment and Economic Development</w:t>
    </w:r>
  </w:p>
  <w:p w:rsidR="002B447D" w:rsidRPr="003C075F" w:rsidRDefault="003C075F" w:rsidP="00D77387">
    <w:pPr>
      <w:pStyle w:val="Footer"/>
      <w:jc w:val="center"/>
      <w:rPr>
        <w:color w:val="2F5496" w:themeColor="accent5" w:themeShade="BF"/>
        <w:sz w:val="20"/>
        <w:szCs w:val="20"/>
      </w:rPr>
    </w:pPr>
    <w:r w:rsidRPr="003C075F">
      <w:rPr>
        <w:color w:val="2F5496" w:themeColor="accent5" w:themeShade="BF"/>
        <w:sz w:val="20"/>
        <w:szCs w:val="20"/>
      </w:rPr>
      <w:t>Trade Adjustment Assistance</w:t>
    </w:r>
  </w:p>
  <w:p w:rsidR="003C075F" w:rsidRPr="003C075F" w:rsidRDefault="003C075F" w:rsidP="00D77387">
    <w:pPr>
      <w:pStyle w:val="Footer"/>
      <w:jc w:val="center"/>
      <w:rPr>
        <w:color w:val="2F5496" w:themeColor="accent5" w:themeShade="BF"/>
        <w:sz w:val="20"/>
        <w:szCs w:val="20"/>
      </w:rPr>
    </w:pPr>
    <w:r w:rsidRPr="003C075F">
      <w:rPr>
        <w:color w:val="2F5496" w:themeColor="accent5" w:themeShade="BF"/>
        <w:sz w:val="20"/>
        <w:szCs w:val="20"/>
      </w:rPr>
      <w:t xml:space="preserve">1st National Bank Building </w:t>
    </w:r>
    <w:r w:rsidRPr="003C075F">
      <w:rPr>
        <w:color w:val="2F5496" w:themeColor="accent5" w:themeShade="BF"/>
        <w:sz w:val="20"/>
        <w:szCs w:val="20"/>
      </w:rPr>
      <w:sym w:font="Symbol" w:char="F0A8"/>
    </w:r>
    <w:r w:rsidRPr="003C075F">
      <w:rPr>
        <w:color w:val="2F5496" w:themeColor="accent5" w:themeShade="BF"/>
        <w:sz w:val="20"/>
        <w:szCs w:val="20"/>
      </w:rPr>
      <w:t xml:space="preserve"> 332 Minnesota Street, Suite E200 </w:t>
    </w:r>
    <w:r w:rsidRPr="003C075F">
      <w:rPr>
        <w:color w:val="2F5496" w:themeColor="accent5" w:themeShade="BF"/>
        <w:sz w:val="20"/>
        <w:szCs w:val="20"/>
      </w:rPr>
      <w:sym w:font="Symbol" w:char="F0A8"/>
    </w:r>
    <w:r w:rsidRPr="003C075F">
      <w:rPr>
        <w:color w:val="2F5496" w:themeColor="accent5" w:themeShade="BF"/>
        <w:sz w:val="20"/>
        <w:szCs w:val="20"/>
      </w:rPr>
      <w:t xml:space="preserve"> Saint Paul, MN 55101-2146 USA </w:t>
    </w:r>
    <w:r>
      <w:rPr>
        <w:color w:val="2F5496" w:themeColor="accent5" w:themeShade="BF"/>
        <w:sz w:val="20"/>
        <w:szCs w:val="20"/>
      </w:rPr>
      <w:t>www.</w:t>
    </w:r>
    <w:r w:rsidRPr="003C075F">
      <w:rPr>
        <w:color w:val="2F5496" w:themeColor="accent5" w:themeShade="BF"/>
        <w:sz w:val="20"/>
        <w:szCs w:val="20"/>
      </w:rPr>
      <w:t xml:space="preserve">mn.gov/deed </w:t>
    </w:r>
    <w:r>
      <w:rPr>
        <w:color w:val="2F5496" w:themeColor="accent5" w:themeShade="BF"/>
        <w:sz w:val="20"/>
        <w:szCs w:val="20"/>
      </w:rPr>
      <w:sym w:font="Symbol" w:char="F0A8"/>
    </w:r>
    <w:r>
      <w:rPr>
        <w:color w:val="2F5496" w:themeColor="accent5" w:themeShade="BF"/>
        <w:sz w:val="20"/>
        <w:szCs w:val="20"/>
      </w:rPr>
      <w:t xml:space="preserve"> </w:t>
    </w:r>
    <w:r w:rsidRPr="003C075F">
      <w:rPr>
        <w:color w:val="2F5496" w:themeColor="accent5" w:themeShade="BF"/>
        <w:sz w:val="20"/>
        <w:szCs w:val="20"/>
      </w:rPr>
      <w:t xml:space="preserve">Toll Free: </w:t>
    </w:r>
    <w:r w:rsidR="00ED6906">
      <w:rPr>
        <w:color w:val="2F5496" w:themeColor="accent5" w:themeShade="BF"/>
        <w:sz w:val="20"/>
        <w:szCs w:val="20"/>
      </w:rPr>
      <w:t>888</w:t>
    </w:r>
    <w:r w:rsidRPr="003C075F">
      <w:rPr>
        <w:color w:val="2F5496" w:themeColor="accent5" w:themeShade="BF"/>
        <w:sz w:val="20"/>
        <w:szCs w:val="20"/>
      </w:rPr>
      <w:t>-</w:t>
    </w:r>
    <w:r w:rsidR="00ED6906">
      <w:rPr>
        <w:color w:val="2F5496" w:themeColor="accent5" w:themeShade="BF"/>
        <w:sz w:val="20"/>
        <w:szCs w:val="20"/>
      </w:rPr>
      <w:t>234</w:t>
    </w:r>
    <w:r w:rsidRPr="003C075F">
      <w:rPr>
        <w:color w:val="2F5496" w:themeColor="accent5" w:themeShade="BF"/>
        <w:sz w:val="20"/>
        <w:szCs w:val="20"/>
      </w:rPr>
      <w:t>-</w:t>
    </w:r>
    <w:r w:rsidR="00ED6906">
      <w:rPr>
        <w:color w:val="2F5496" w:themeColor="accent5" w:themeShade="BF"/>
        <w:sz w:val="20"/>
        <w:szCs w:val="20"/>
      </w:rPr>
      <w:t>1330</w:t>
    </w:r>
    <w:r w:rsidRPr="003C075F">
      <w:rPr>
        <w:color w:val="2F5496" w:themeColor="accent5" w:themeShade="BF"/>
        <w:sz w:val="20"/>
        <w:szCs w:val="20"/>
      </w:rPr>
      <w:t xml:space="preserve"> </w:t>
    </w:r>
    <w:r w:rsidRPr="003C075F">
      <w:rPr>
        <w:color w:val="2F5496" w:themeColor="accent5" w:themeShade="BF"/>
        <w:sz w:val="20"/>
        <w:szCs w:val="20"/>
      </w:rPr>
      <w:sym w:font="Symbol" w:char="F0A8"/>
    </w:r>
    <w:r>
      <w:rPr>
        <w:color w:val="2F5496" w:themeColor="accent5" w:themeShade="BF"/>
        <w:sz w:val="20"/>
        <w:szCs w:val="20"/>
      </w:rPr>
      <w:t xml:space="preserve"> </w:t>
    </w:r>
    <w:r w:rsidRPr="003C075F">
      <w:rPr>
        <w:color w:val="2F5496" w:themeColor="accent5" w:themeShade="BF"/>
        <w:sz w:val="20"/>
        <w:szCs w:val="20"/>
      </w:rPr>
      <w:t>Phone: 651-</w:t>
    </w:r>
    <w:r w:rsidR="00ED6906">
      <w:rPr>
        <w:color w:val="2F5496" w:themeColor="accent5" w:themeShade="BF"/>
        <w:sz w:val="20"/>
        <w:szCs w:val="20"/>
      </w:rPr>
      <w:t>259-7543</w:t>
    </w:r>
    <w:r w:rsidRPr="003C075F">
      <w:rPr>
        <w:color w:val="2F5496" w:themeColor="accent5" w:themeShade="BF"/>
        <w:sz w:val="20"/>
        <w:szCs w:val="20"/>
      </w:rPr>
      <w:t xml:space="preserve"> </w:t>
    </w:r>
    <w:r w:rsidRPr="003C075F">
      <w:rPr>
        <w:color w:val="2F5496" w:themeColor="accent5" w:themeShade="BF"/>
        <w:sz w:val="20"/>
        <w:szCs w:val="20"/>
      </w:rPr>
      <w:sym w:font="Symbol" w:char="F0A8"/>
    </w:r>
    <w:r w:rsidRPr="003C075F">
      <w:rPr>
        <w:color w:val="2F5496" w:themeColor="accent5" w:themeShade="BF"/>
        <w:sz w:val="20"/>
        <w:szCs w:val="20"/>
      </w:rPr>
      <w:t xml:space="preserve"> </w:t>
    </w:r>
    <w:r w:rsidR="00ED6906">
      <w:rPr>
        <w:color w:val="2F5496" w:themeColor="accent5" w:themeShade="BF"/>
        <w:sz w:val="20"/>
        <w:szCs w:val="20"/>
      </w:rPr>
      <w:t>Fax: 651-296-0288</w:t>
    </w:r>
    <w:r w:rsidRPr="003C075F">
      <w:rPr>
        <w:color w:val="2F5496" w:themeColor="accent5" w:themeShade="BF"/>
        <w:sz w:val="20"/>
        <w:szCs w:val="20"/>
      </w:rPr>
      <w:t xml:space="preserve"> </w:t>
    </w:r>
  </w:p>
  <w:p w:rsidR="002B447D" w:rsidRPr="003C075F" w:rsidRDefault="003C075F" w:rsidP="003C075F">
    <w:pPr>
      <w:pStyle w:val="Footer"/>
      <w:jc w:val="center"/>
      <w:rPr>
        <w:color w:val="2F5496" w:themeColor="accent5" w:themeShade="BF"/>
      </w:rPr>
    </w:pPr>
    <w:r w:rsidRPr="003C075F">
      <w:rPr>
        <w:color w:val="2F5496" w:themeColor="accent5" w:themeShade="BF"/>
        <w:sz w:val="20"/>
        <w:szCs w:val="20"/>
      </w:rPr>
      <w:t>An Equal Opportunity Employer and Service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AD" w:rsidRDefault="001E08AD" w:rsidP="00D77387">
      <w:r>
        <w:separator/>
      </w:r>
    </w:p>
  </w:footnote>
  <w:footnote w:type="continuationSeparator" w:id="0">
    <w:p w:rsidR="001E08AD" w:rsidRDefault="001E08AD" w:rsidP="00D7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32" w:rsidRDefault="003B3244">
    <w:pPr>
      <w:pStyle w:val="Header"/>
    </w:pPr>
    <w:r>
      <w:rPr>
        <w:noProof/>
      </w:rPr>
      <w:drawing>
        <wp:anchor distT="0" distB="0" distL="0" distR="0" simplePos="0" relativeHeight="251657728" behindDoc="0" locked="0" layoutInCell="1" allowOverlap="0">
          <wp:simplePos x="0" y="0"/>
          <wp:positionH relativeFrom="page">
            <wp:posOffset>15875</wp:posOffset>
          </wp:positionH>
          <wp:positionV relativeFrom="page">
            <wp:posOffset>0</wp:posOffset>
          </wp:positionV>
          <wp:extent cx="7772400" cy="1249680"/>
          <wp:effectExtent l="0" t="0" r="0" b="7620"/>
          <wp:wrapSquare wrapText="bothSides"/>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200"/>
    <w:multiLevelType w:val="hybridMultilevel"/>
    <w:tmpl w:val="C28E66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0F4015"/>
    <w:multiLevelType w:val="hybridMultilevel"/>
    <w:tmpl w:val="2DE4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9208D"/>
    <w:multiLevelType w:val="hybridMultilevel"/>
    <w:tmpl w:val="E1F4C7E8"/>
    <w:lvl w:ilvl="0" w:tplc="55C4905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A3E7E"/>
    <w:multiLevelType w:val="hybridMultilevel"/>
    <w:tmpl w:val="4DA89D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5D240A6"/>
    <w:multiLevelType w:val="hybridMultilevel"/>
    <w:tmpl w:val="D95AF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C0130"/>
    <w:multiLevelType w:val="hybridMultilevel"/>
    <w:tmpl w:val="0336961E"/>
    <w:lvl w:ilvl="0" w:tplc="55C4905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DDE7B7F"/>
    <w:multiLevelType w:val="hybridMultilevel"/>
    <w:tmpl w:val="8D209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A3"/>
    <w:rsid w:val="000A0B25"/>
    <w:rsid w:val="000C4E9C"/>
    <w:rsid w:val="000F6F96"/>
    <w:rsid w:val="001014FF"/>
    <w:rsid w:val="001E08AD"/>
    <w:rsid w:val="001E1277"/>
    <w:rsid w:val="002060F3"/>
    <w:rsid w:val="00261B36"/>
    <w:rsid w:val="002A750C"/>
    <w:rsid w:val="002B447D"/>
    <w:rsid w:val="002C1910"/>
    <w:rsid w:val="002D36EA"/>
    <w:rsid w:val="003436C1"/>
    <w:rsid w:val="003B3244"/>
    <w:rsid w:val="003C075F"/>
    <w:rsid w:val="003F00E6"/>
    <w:rsid w:val="004876A1"/>
    <w:rsid w:val="00491043"/>
    <w:rsid w:val="004A1BBE"/>
    <w:rsid w:val="005A33EE"/>
    <w:rsid w:val="005A4BAC"/>
    <w:rsid w:val="005B1F42"/>
    <w:rsid w:val="005D76AE"/>
    <w:rsid w:val="00605827"/>
    <w:rsid w:val="0069235D"/>
    <w:rsid w:val="00695A6F"/>
    <w:rsid w:val="006C0CD9"/>
    <w:rsid w:val="0070650C"/>
    <w:rsid w:val="00716698"/>
    <w:rsid w:val="007459E9"/>
    <w:rsid w:val="00790C44"/>
    <w:rsid w:val="008A5A23"/>
    <w:rsid w:val="008C662B"/>
    <w:rsid w:val="008F167C"/>
    <w:rsid w:val="00922D42"/>
    <w:rsid w:val="00924416"/>
    <w:rsid w:val="00980E53"/>
    <w:rsid w:val="009D060B"/>
    <w:rsid w:val="00A21FE4"/>
    <w:rsid w:val="00A81B3D"/>
    <w:rsid w:val="00AB5332"/>
    <w:rsid w:val="00AC22A3"/>
    <w:rsid w:val="00AE652B"/>
    <w:rsid w:val="00B24C38"/>
    <w:rsid w:val="00C36DDA"/>
    <w:rsid w:val="00C76AFE"/>
    <w:rsid w:val="00C97E23"/>
    <w:rsid w:val="00D77387"/>
    <w:rsid w:val="00D83905"/>
    <w:rsid w:val="00DA146E"/>
    <w:rsid w:val="00DA2DCD"/>
    <w:rsid w:val="00DE0D84"/>
    <w:rsid w:val="00E610B2"/>
    <w:rsid w:val="00E91BA6"/>
    <w:rsid w:val="00EC5B5C"/>
    <w:rsid w:val="00ED6906"/>
    <w:rsid w:val="00F26EA5"/>
    <w:rsid w:val="00F5156F"/>
    <w:rsid w:val="00F6546A"/>
    <w:rsid w:val="00F7780C"/>
    <w:rsid w:val="00F8016F"/>
    <w:rsid w:val="00FC2994"/>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BCA8324-0BEF-41B3-8FC0-1CAFC9A3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5332"/>
    <w:pPr>
      <w:keepNext/>
      <w:keepLines/>
      <w:spacing w:before="240" w:after="240"/>
      <w:contextualSpacing/>
      <w:outlineLvl w:val="0"/>
    </w:pPr>
    <w:rPr>
      <w:rFonts w:ascii="Calibri" w:eastAsia="MS Gothic" w:hAnsi="Calibri"/>
      <w:b/>
      <w:color w:val="000000"/>
      <w:sz w:val="32"/>
      <w:szCs w:val="32"/>
      <w:lang w:eastAsia="ja-JP"/>
    </w:rPr>
  </w:style>
  <w:style w:type="paragraph" w:styleId="Heading2">
    <w:name w:val="heading 2"/>
    <w:basedOn w:val="Normal"/>
    <w:next w:val="Normal"/>
    <w:link w:val="Heading2Char"/>
    <w:uiPriority w:val="9"/>
    <w:unhideWhenUsed/>
    <w:qFormat/>
    <w:rsid w:val="00AB5332"/>
    <w:pPr>
      <w:keepNext/>
      <w:keepLines/>
      <w:spacing w:after="120"/>
      <w:contextualSpacing/>
      <w:outlineLvl w:val="1"/>
    </w:pPr>
    <w:rPr>
      <w:rFonts w:ascii="Calibri" w:eastAsia="MS Gothic" w:hAnsi="Calibri"/>
      <w:b/>
      <w:color w:val="000000"/>
      <w:sz w:val="28"/>
      <w:szCs w:val="26"/>
      <w:lang w:eastAsia="ja-JP"/>
    </w:rPr>
  </w:style>
  <w:style w:type="paragraph" w:styleId="Heading3">
    <w:name w:val="heading 3"/>
    <w:basedOn w:val="Normal"/>
    <w:next w:val="Normal"/>
    <w:link w:val="Heading3Char"/>
    <w:uiPriority w:val="9"/>
    <w:unhideWhenUsed/>
    <w:qFormat/>
    <w:rsid w:val="00AB5332"/>
    <w:pPr>
      <w:keepNext/>
      <w:keepLines/>
      <w:spacing w:before="40"/>
      <w:contextualSpacing/>
      <w:outlineLvl w:val="2"/>
    </w:pPr>
    <w:rPr>
      <w:rFonts w:ascii="Calibri" w:eastAsia="MS Gothic" w:hAnsi="Calibri"/>
      <w:b/>
      <w:color w:val="000000"/>
      <w:sz w:val="26"/>
      <w:lang w:eastAsia="ja-JP"/>
    </w:rPr>
  </w:style>
  <w:style w:type="paragraph" w:styleId="Heading4">
    <w:name w:val="heading 4"/>
    <w:basedOn w:val="Normal"/>
    <w:next w:val="Normal"/>
    <w:link w:val="Heading4Char"/>
    <w:uiPriority w:val="9"/>
    <w:unhideWhenUsed/>
    <w:qFormat/>
    <w:rsid w:val="00AB5332"/>
    <w:pPr>
      <w:keepNext/>
      <w:keepLines/>
      <w:spacing w:before="40"/>
      <w:contextualSpacing/>
      <w:outlineLvl w:val="3"/>
    </w:pPr>
    <w:rPr>
      <w:rFonts w:ascii="Calibri" w:eastAsia="MS Gothic" w:hAnsi="Calibri"/>
      <w:b/>
      <w:iCs/>
      <w:color w:val="000000"/>
      <w:szCs w:val="22"/>
      <w:lang w:eastAsia="ja-JP"/>
    </w:rPr>
  </w:style>
  <w:style w:type="paragraph" w:styleId="Heading5">
    <w:name w:val="heading 5"/>
    <w:basedOn w:val="Normal"/>
    <w:next w:val="Normal"/>
    <w:link w:val="Heading5Char"/>
    <w:uiPriority w:val="9"/>
    <w:unhideWhenUsed/>
    <w:qFormat/>
    <w:rsid w:val="00AB5332"/>
    <w:pPr>
      <w:keepNext/>
      <w:keepLines/>
      <w:spacing w:before="40"/>
      <w:ind w:left="360"/>
      <w:contextualSpacing/>
      <w:outlineLvl w:val="4"/>
    </w:pPr>
    <w:rPr>
      <w:rFonts w:ascii="Calibri" w:eastAsia="MS Gothic" w:hAnsi="Calibri"/>
      <w:b/>
      <w:szCs w:val="22"/>
      <w:lang w:eastAsia="ja-JP"/>
    </w:rPr>
  </w:style>
  <w:style w:type="paragraph" w:styleId="Heading6">
    <w:name w:val="heading 6"/>
    <w:basedOn w:val="Normal"/>
    <w:next w:val="Normal"/>
    <w:link w:val="Heading6Char"/>
    <w:uiPriority w:val="9"/>
    <w:unhideWhenUsed/>
    <w:qFormat/>
    <w:rsid w:val="00AB5332"/>
    <w:pPr>
      <w:keepNext/>
      <w:keepLines/>
      <w:spacing w:before="40"/>
      <w:ind w:left="720"/>
      <w:contextualSpacing/>
      <w:outlineLvl w:val="5"/>
    </w:pPr>
    <w:rPr>
      <w:rFonts w:ascii="Calibri" w:eastAsia="MS Gothic" w:hAnsi="Calibri"/>
      <w:b/>
      <w:color w:val="000000"/>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2AEB"/>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FE2AEB"/>
    <w:rPr>
      <w:rFonts w:ascii="Calibri" w:eastAsia="Calibri" w:hAnsi="Calibri" w:cs="Times New Roman"/>
      <w:sz w:val="22"/>
      <w:szCs w:val="22"/>
    </w:rPr>
  </w:style>
  <w:style w:type="paragraph" w:styleId="BodyText">
    <w:name w:val="Body Text"/>
    <w:basedOn w:val="Normal"/>
    <w:link w:val="BodyTextChar"/>
    <w:rsid w:val="0070650C"/>
    <w:rPr>
      <w:sz w:val="36"/>
    </w:rPr>
  </w:style>
  <w:style w:type="character" w:customStyle="1" w:styleId="BodyTextChar">
    <w:name w:val="Body Text Char"/>
    <w:link w:val="BodyText"/>
    <w:rsid w:val="0070650C"/>
    <w:rPr>
      <w:sz w:val="36"/>
      <w:szCs w:val="24"/>
    </w:rPr>
  </w:style>
  <w:style w:type="character" w:styleId="Emphasis">
    <w:name w:val="Emphasis"/>
    <w:qFormat/>
    <w:rsid w:val="0070650C"/>
    <w:rPr>
      <w:i/>
      <w:iCs/>
    </w:rPr>
  </w:style>
  <w:style w:type="paragraph" w:styleId="Header">
    <w:name w:val="header"/>
    <w:basedOn w:val="Normal"/>
    <w:link w:val="HeaderChar"/>
    <w:uiPriority w:val="99"/>
    <w:rsid w:val="00D77387"/>
    <w:pPr>
      <w:tabs>
        <w:tab w:val="center" w:pos="4680"/>
        <w:tab w:val="right" w:pos="9360"/>
      </w:tabs>
    </w:pPr>
  </w:style>
  <w:style w:type="character" w:customStyle="1" w:styleId="HeaderChar">
    <w:name w:val="Header Char"/>
    <w:link w:val="Header"/>
    <w:uiPriority w:val="99"/>
    <w:rsid w:val="00D77387"/>
    <w:rPr>
      <w:sz w:val="24"/>
      <w:szCs w:val="24"/>
    </w:rPr>
  </w:style>
  <w:style w:type="character" w:styleId="Hyperlink">
    <w:name w:val="Hyperlink"/>
    <w:rsid w:val="00FC2994"/>
    <w:rPr>
      <w:color w:val="0000FF"/>
      <w:u w:val="single"/>
    </w:rPr>
  </w:style>
  <w:style w:type="paragraph" w:customStyle="1" w:styleId="celldata">
    <w:name w:val="celldata"/>
    <w:basedOn w:val="Normal"/>
    <w:rsid w:val="00F6546A"/>
    <w:pPr>
      <w:spacing w:before="100" w:beforeAutospacing="1" w:after="100" w:afterAutospacing="1"/>
      <w:textAlignment w:val="center"/>
    </w:pPr>
    <w:rPr>
      <w:rFonts w:ascii="Arial" w:hAnsi="Arial" w:cs="Arial"/>
      <w:color w:val="000000"/>
    </w:rPr>
  </w:style>
  <w:style w:type="paragraph" w:styleId="BalloonText">
    <w:name w:val="Balloon Text"/>
    <w:basedOn w:val="Normal"/>
    <w:link w:val="BalloonTextChar"/>
    <w:rsid w:val="002B447D"/>
    <w:rPr>
      <w:rFonts w:ascii="Tahoma" w:hAnsi="Tahoma" w:cs="Tahoma"/>
      <w:sz w:val="16"/>
      <w:szCs w:val="16"/>
    </w:rPr>
  </w:style>
  <w:style w:type="character" w:customStyle="1" w:styleId="BalloonTextChar">
    <w:name w:val="Balloon Text Char"/>
    <w:link w:val="BalloonText"/>
    <w:rsid w:val="002B447D"/>
    <w:rPr>
      <w:rFonts w:ascii="Tahoma" w:hAnsi="Tahoma" w:cs="Tahoma"/>
      <w:sz w:val="16"/>
      <w:szCs w:val="16"/>
    </w:rPr>
  </w:style>
  <w:style w:type="character" w:customStyle="1" w:styleId="Heading1Char">
    <w:name w:val="Heading 1 Char"/>
    <w:link w:val="Heading1"/>
    <w:uiPriority w:val="9"/>
    <w:rsid w:val="00AB5332"/>
    <w:rPr>
      <w:rFonts w:ascii="Calibri" w:eastAsia="MS Gothic" w:hAnsi="Calibri"/>
      <w:b/>
      <w:color w:val="000000"/>
      <w:sz w:val="32"/>
      <w:szCs w:val="32"/>
      <w:lang w:eastAsia="ja-JP"/>
    </w:rPr>
  </w:style>
  <w:style w:type="character" w:customStyle="1" w:styleId="Heading2Char">
    <w:name w:val="Heading 2 Char"/>
    <w:link w:val="Heading2"/>
    <w:uiPriority w:val="9"/>
    <w:rsid w:val="00AB5332"/>
    <w:rPr>
      <w:rFonts w:ascii="Calibri" w:eastAsia="MS Gothic" w:hAnsi="Calibri"/>
      <w:b/>
      <w:color w:val="000000"/>
      <w:sz w:val="28"/>
      <w:szCs w:val="26"/>
      <w:lang w:eastAsia="ja-JP"/>
    </w:rPr>
  </w:style>
  <w:style w:type="character" w:customStyle="1" w:styleId="Heading3Char">
    <w:name w:val="Heading 3 Char"/>
    <w:link w:val="Heading3"/>
    <w:uiPriority w:val="9"/>
    <w:rsid w:val="00AB5332"/>
    <w:rPr>
      <w:rFonts w:ascii="Calibri" w:eastAsia="MS Gothic" w:hAnsi="Calibri"/>
      <w:b/>
      <w:color w:val="000000"/>
      <w:sz w:val="26"/>
      <w:szCs w:val="24"/>
      <w:lang w:eastAsia="ja-JP"/>
    </w:rPr>
  </w:style>
  <w:style w:type="character" w:customStyle="1" w:styleId="Heading4Char">
    <w:name w:val="Heading 4 Char"/>
    <w:link w:val="Heading4"/>
    <w:uiPriority w:val="9"/>
    <w:rsid w:val="00AB5332"/>
    <w:rPr>
      <w:rFonts w:ascii="Calibri" w:eastAsia="MS Gothic" w:hAnsi="Calibri"/>
      <w:b/>
      <w:iCs/>
      <w:color w:val="000000"/>
      <w:sz w:val="24"/>
      <w:szCs w:val="22"/>
      <w:lang w:eastAsia="ja-JP"/>
    </w:rPr>
  </w:style>
  <w:style w:type="character" w:customStyle="1" w:styleId="Heading5Char">
    <w:name w:val="Heading 5 Char"/>
    <w:link w:val="Heading5"/>
    <w:uiPriority w:val="9"/>
    <w:rsid w:val="00AB5332"/>
    <w:rPr>
      <w:rFonts w:ascii="Calibri" w:eastAsia="MS Gothic" w:hAnsi="Calibri"/>
      <w:b/>
      <w:sz w:val="24"/>
      <w:szCs w:val="22"/>
      <w:lang w:eastAsia="ja-JP"/>
    </w:rPr>
  </w:style>
  <w:style w:type="character" w:customStyle="1" w:styleId="Heading6Char">
    <w:name w:val="Heading 6 Char"/>
    <w:link w:val="Heading6"/>
    <w:uiPriority w:val="9"/>
    <w:rsid w:val="00AB5332"/>
    <w:rPr>
      <w:rFonts w:ascii="Calibri" w:eastAsia="MS Gothic" w:hAnsi="Calibri"/>
      <w:b/>
      <w:color w:val="000000"/>
      <w:sz w:val="24"/>
      <w:szCs w:val="22"/>
      <w:lang w:eastAsia="ja-JP"/>
    </w:rPr>
  </w:style>
  <w:style w:type="paragraph" w:styleId="ListParagraph">
    <w:name w:val="List Paragraph"/>
    <w:basedOn w:val="Normal"/>
    <w:uiPriority w:val="34"/>
    <w:qFormat/>
    <w:rsid w:val="00AB5332"/>
    <w:pPr>
      <w:spacing w:after="240"/>
      <w:ind w:left="720"/>
      <w:contextualSpacing/>
    </w:pPr>
    <w:rPr>
      <w:rFonts w:ascii="Calibri" w:eastAsia="Cambria" w:hAnsi="Calibri"/>
      <w:szCs w:val="22"/>
      <w:lang w:eastAsia="ja-JP"/>
    </w:rPr>
  </w:style>
  <w:style w:type="character" w:styleId="IntenseEmphasis">
    <w:name w:val="Intense Emphasis"/>
    <w:uiPriority w:val="21"/>
    <w:qFormat/>
    <w:rsid w:val="00AB5332"/>
    <w:rPr>
      <w:b/>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d.taa@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A601-1810-4E54-879D-CD7B9A7A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vt:lpstr>
    </vt:vector>
  </TitlesOfParts>
  <Company>DEED</Company>
  <LinksUpToDate>false</LinksUpToDate>
  <CharactersWithSpaces>1240</CharactersWithSpaces>
  <SharedDoc>false</SharedDoc>
  <HLinks>
    <vt:vector size="6" baseType="variant">
      <vt:variant>
        <vt:i4>131113</vt:i4>
      </vt:variant>
      <vt:variant>
        <vt:i4>0</vt:i4>
      </vt:variant>
      <vt:variant>
        <vt:i4>0</vt:i4>
      </vt:variant>
      <vt:variant>
        <vt:i4>5</vt:i4>
      </vt:variant>
      <vt:variant>
        <vt:lpwstr>http://mn.gov/mnit/assets/MinnesotaStateAccessibleDocumentReferenceGuide2013-v1_tcm38-62558.pdf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WFCUSER</dc:creator>
  <cp:keywords/>
  <dc:description/>
  <cp:lastModifiedBy>Cynthia Boyle</cp:lastModifiedBy>
  <cp:revision>3</cp:revision>
  <cp:lastPrinted>2009-12-21T17:36:00Z</cp:lastPrinted>
  <dcterms:created xsi:type="dcterms:W3CDTF">2018-04-13T17:22:00Z</dcterms:created>
  <dcterms:modified xsi:type="dcterms:W3CDTF">2018-08-07T16:57:00Z</dcterms:modified>
</cp:coreProperties>
</file>