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6E" w:rsidRDefault="00C83160" w:rsidP="00C57B6E">
      <w:r>
        <w:rPr>
          <w:noProof/>
          <w:lang w:eastAsia="zh-TW"/>
        </w:rPr>
        <w:pict>
          <v:shapetype id="_x0000_t202" coordsize="21600,21600" o:spt="202" path="m,l,21600r21600,l21600,xe">
            <v:stroke joinstyle="miter"/>
            <v:path gradientshapeok="t" o:connecttype="rect"/>
          </v:shapetype>
          <v:shape id="_x0000_s1038" type="#_x0000_t202" style="position:absolute;margin-left:-6.4pt;margin-top:1.45pt;width:524.65pt;height:52.85pt;z-index:251660288;mso-width-relative:margin;mso-height-relative:margin" fillcolor="#943634 [2405]" strokecolor="white [3212]" strokeweight="1.5pt">
            <v:shadow on="t" color="#943634 [2405]" opacity=".5" offset="6pt,-6pt"/>
            <v:textbox style="mso-next-textbox:#_x0000_s1038">
              <w:txbxContent>
                <w:p w:rsidR="00283480" w:rsidRPr="00B97399" w:rsidRDefault="00283480" w:rsidP="002F6DE6">
                  <w:pPr>
                    <w:spacing w:before="240"/>
                    <w:jc w:val="center"/>
                    <w:rPr>
                      <w:rFonts w:ascii="Arial Narrow" w:hAnsi="Arial Narrow"/>
                      <w:b/>
                      <w:shadow/>
                      <w:color w:val="FFFFFF" w:themeColor="background1"/>
                      <w:sz w:val="48"/>
                      <w:szCs w:val="48"/>
                    </w:rPr>
                  </w:pPr>
                  <w:r w:rsidRPr="00B97399">
                    <w:rPr>
                      <w:rFonts w:ascii="Arial Narrow" w:hAnsi="Arial Narrow"/>
                      <w:b/>
                      <w:shadow/>
                      <w:color w:val="FFFFFF" w:themeColor="background1"/>
                      <w:sz w:val="48"/>
                      <w:szCs w:val="48"/>
                    </w:rPr>
                    <w:t>Are You Literate on the Lit/Num Common Measure?</w:t>
                  </w:r>
                </w:p>
              </w:txbxContent>
            </v:textbox>
          </v:shape>
        </w:pict>
      </w:r>
      <w:r w:rsidR="00051FAE">
        <w:t xml:space="preserve">  </w:t>
      </w:r>
    </w:p>
    <w:p w:rsidR="00CC127A" w:rsidRDefault="00CC127A" w:rsidP="00C57B6E">
      <w:pPr>
        <w:rPr>
          <w:sz w:val="16"/>
          <w:szCs w:val="16"/>
        </w:rPr>
      </w:pPr>
    </w:p>
    <w:tbl>
      <w:tblPr>
        <w:tblStyle w:val="TableGrid"/>
        <w:tblpPr w:leftFromText="180" w:rightFromText="180" w:vertAnchor="page" w:horzAnchor="margin" w:tblpY="23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7200"/>
      </w:tblGrid>
      <w:tr w:rsidR="00B63E4A" w:rsidTr="00B63E4A">
        <w:tc>
          <w:tcPr>
            <w:tcW w:w="3528" w:type="dxa"/>
          </w:tcPr>
          <w:p w:rsidR="00B63E4A" w:rsidRDefault="00C83160" w:rsidP="00B63E4A">
            <w:pPr>
              <w:rPr>
                <w:rFonts w:ascii="Arial Narrow" w:hAnsi="Arial Narrow"/>
                <w:b/>
              </w:rPr>
            </w:pPr>
            <w:r w:rsidRPr="00C83160">
              <w:pict>
                <v:group id="_x0000_s1103" style="width:148.8pt;height:106.75pt;mso-position-horizontal-relative:char;mso-position-vertical-relative:line" coordorigin="2520,1635" coordsize="7200,6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2520;top:1635;width:7200;height:6912;flip:x" o:preferrelative="f">
                    <v:fill o:detectmouseclick="t"/>
                    <v:path o:extrusionok="t" o:connecttype="none"/>
                  </v:shape>
                  <v:shape id="_x0000_s1105" style="position:absolute;left:5511;top:1731;width:930;height:1416;flip:x" coordsize="344,353" path="m343,171r,-26l339,124r-5,-21l326,86,316,70,304,56,291,45,275,34,256,25,234,16,212,10,190,5,166,3,144,,121,,100,,79,2,61,3,43,5,28,6,17,9,7,10,2,11,,11,59,84,35,162r84,l123,154r8,-8l140,144r11,l160,148r7,7l171,165r,9l166,183r-6,7l149,192r-10,l130,189r-8,-9l119,172r,-10l35,162,19,209r48,9l67,241r5,21l80,283r13,18l109,318r18,13l148,342r23,7l199,353r26,-2l249,345r23,-11l292,319r17,-18l322,279r11,-24l339,232r4,-22l344,190r-1,-19xe" fillcolor="black" stroked="f">
                    <v:path arrowok="t"/>
                  </v:shape>
                  <v:shape id="_x0000_s1106" style="position:absolute;left:5554;top:3291;width:309;height:1296;flip:x" coordsize="118,324" path="m,8l27,62,25,269r43,55l118,246,52,54,66,,,8xe" fillcolor="#9c0" stroked="f">
                    <v:path arrowok="t"/>
                  </v:shape>
                  <v:shape id="_x0000_s1107" style="position:absolute;left:4127;top:2993;width:3099;height:1786;flip:x" coordsize="1155,448" path="m1039,329l1155,,716,59,573,359,392,104,,157,196,448,1039,329xe" fillcolor="#006" stroked="f">
                    <v:path arrowok="t"/>
                  </v:shape>
                  <v:shape id="_x0000_s1108" style="position:absolute;left:2970;top:6219;width:5049;height:2328;flip:x" coordsize="1885,583" path="m1661,479r,-16l1661,444r-1,-23l1657,396r-2,-27l1648,339r-6,-30l1631,276r-11,-34l1605,207r-18,-35l1566,137r-23,-35l1516,67,1483,34,1448,,303,162r-25,49l259,259r-16,47l234,350r-8,40l224,425r-2,30l222,479,,582r561,1l561,579r1,-10l566,553r5,-21l578,507r10,-28l601,450r18,-31l640,389r26,-31l697,331r35,-26l775,284r48,-16l879,257r63,-5l1004,256r56,9l1108,281r43,22l1188,327r31,28l1245,385r21,31l1283,448r14,30l1307,506r7,25l1319,552r4,17l1324,579r,4l1885,582,1661,479xe" fillcolor="#006" stroked="f">
                    <v:path arrowok="t"/>
                  </v:shape>
                  <v:shape id="_x0000_s1109" style="position:absolute;left:3004;top:4673;width:257;height:576;flip:x" coordsize="94,146" path="m94,79l93,64,89,51,82,38,73,27,60,16,47,9,30,3,13,,11,,7,,3,,,2,24,146r14,-3l50,138r12,-6l72,124r9,-10l88,103,92,92,94,79xe" fillcolor="black" stroked="f">
                    <v:path arrowok="t"/>
                  </v:shape>
                  <v:shape id="_x0000_s1110" style="position:absolute;left:7449;top:6737;width:450;height:336;flip:x" coordsize="169,84" path="m,24l4,36r7,12l18,58r11,8l40,75r13,5l68,83r15,1l100,83r17,-5l132,72r13,-9l155,52r8,-12l168,25r1,-14l169,8r,-3l168,2r,-2l,24xe" fillcolor="black" stroked="f">
                    <v:path arrowok="t"/>
                  </v:shape>
                  <v:shape id="_x0000_s1111" style="position:absolute;left:2756;top:3219;width:1941;height:1632;flip:x" coordsize="726,408" path="m14,102r,l21,100,36,95,61,89,94,81r39,-8l177,65r48,-8l277,51r52,-4l382,46r52,2l486,54r47,11l578,81r37,23l648,133r5,7l662,156r9,24l678,211r-2,37l663,287r-28,43l587,372r30,36l676,355r34,-53l726,251r,-47l717,164,704,133,692,112r-5,-7l650,71,609,45,562,25,510,12,455,4,399,,343,1,287,4r-54,6l181,18r-47,9l92,35,56,44,28,51,9,57,,59r14,43xe" fillcolor="black" stroked="f">
                    <v:path arrowok="t"/>
                  </v:shape>
                  <v:shape id="_x0000_s1112" style="position:absolute;left:6904;top:3809;width:707;height:1944;flip:x" coordsize="264,488" path="m234,r-5,4l220,12,206,24,187,40,168,61,146,85r-24,26l99,143,77,176,56,213,37,253,21,295,9,340,3,387,,436r5,52l53,482,50,435r2,-45l59,347,70,304,85,266r18,-38l122,195r21,-32l165,135r21,-25l207,88,225,70,241,55,253,45r9,-7l264,35,234,xe" fillcolor="black" stroked="f">
                    <v:path arrowok="t"/>
                  </v:shape>
                  <v:shape id="_x0000_s1113" style="position:absolute;left:8670;top:5513;width:107;height:288;flip:x" coordsize="41,71" path="m41,54l41,,,23,11,71,41,54xe" fillcolor="black" stroked="f">
                    <v:path arrowok="t"/>
                  </v:shape>
                  <v:shape id="_x0000_s1114" style="position:absolute;left:3133;top:4251;width:6587;height:2664;flip:x" coordsize="2460,666" path="m2437,251r-5,2l2426,253r-5,l2416,253r-17,-3l2382,245r-13,-8l2356,227r-9,-12l2341,202r-4,-13l2335,173r3,-13l2343,148r8,-11l2360,127r12,-7l2385,113r13,-4l2413,107,2395,,468,273r-76,44l392,371r82,-47l522,616,316,568,293,427r69,-39l351,340,,541,533,666,679,645r-1,-4l678,638r-1,-4l677,632r1,-15l683,603r8,-13l703,579r11,-9l730,563r16,-5l762,557r16,1l792,562r15,6l818,575r11,10l837,596r6,12l847,621,2460,392,2437,251xe" fillcolor="black" stroked="f">
                    <v:path arrowok="t"/>
                  </v:shape>
                  <w10:wrap type="none"/>
                  <w10:anchorlock/>
                </v:group>
              </w:pict>
            </w:r>
          </w:p>
        </w:tc>
        <w:tc>
          <w:tcPr>
            <w:tcW w:w="7200" w:type="dxa"/>
          </w:tcPr>
          <w:p w:rsidR="00B63E4A" w:rsidRDefault="00B63E4A" w:rsidP="00B63E4A">
            <w:pPr>
              <w:rPr>
                <w:rFonts w:ascii="Arial Narrow" w:hAnsi="Arial Narrow"/>
                <w:b/>
              </w:rPr>
            </w:pPr>
          </w:p>
          <w:p w:rsidR="00B63E4A" w:rsidRPr="00977F12" w:rsidRDefault="00B63E4A" w:rsidP="00B63E4A">
            <w:pPr>
              <w:rPr>
                <w:rFonts w:ascii="Arial Narrow" w:hAnsi="Arial Narrow"/>
                <w:b/>
              </w:rPr>
            </w:pPr>
            <w:r w:rsidRPr="00977F12">
              <w:rPr>
                <w:rFonts w:ascii="Arial Narrow" w:hAnsi="Arial Narrow"/>
                <w:b/>
              </w:rPr>
              <w:t>This desk aide for state and local staff consists of the following sections:</w:t>
            </w:r>
          </w:p>
          <w:p w:rsidR="00B63E4A" w:rsidRPr="00811EAA" w:rsidRDefault="00B63E4A" w:rsidP="00B63E4A">
            <w:pPr>
              <w:rPr>
                <w:rFonts w:ascii="Arial Narrow" w:hAnsi="Arial Narrow"/>
                <w:color w:val="943634" w:themeColor="accent2" w:themeShade="BF"/>
              </w:rPr>
            </w:pPr>
          </w:p>
          <w:p w:rsidR="00B63E4A" w:rsidRPr="00977F12" w:rsidRDefault="00B63E4A" w:rsidP="00B63E4A">
            <w:pPr>
              <w:pStyle w:val="ListParagraph"/>
              <w:numPr>
                <w:ilvl w:val="0"/>
                <w:numId w:val="19"/>
              </w:numPr>
              <w:rPr>
                <w:rFonts w:ascii="Arial Narrow" w:hAnsi="Arial Narrow"/>
                <w:b/>
                <w:color w:val="943634" w:themeColor="accent2" w:themeShade="BF"/>
              </w:rPr>
            </w:pPr>
            <w:r w:rsidRPr="00977F12">
              <w:rPr>
                <w:rFonts w:ascii="Arial Narrow" w:hAnsi="Arial Narrow"/>
                <w:b/>
                <w:color w:val="943634" w:themeColor="accent2" w:themeShade="BF"/>
              </w:rPr>
              <w:t>About the Literacy/Numeracy Gains Measure</w:t>
            </w:r>
          </w:p>
          <w:p w:rsidR="00B63E4A" w:rsidRPr="00977F12" w:rsidRDefault="00B63E4A" w:rsidP="00B63E4A">
            <w:pPr>
              <w:pStyle w:val="ListParagraph"/>
              <w:numPr>
                <w:ilvl w:val="0"/>
                <w:numId w:val="19"/>
              </w:numPr>
              <w:rPr>
                <w:rFonts w:ascii="Arial Narrow" w:hAnsi="Arial Narrow"/>
                <w:b/>
                <w:color w:val="943634" w:themeColor="accent2" w:themeShade="BF"/>
              </w:rPr>
            </w:pPr>
            <w:r w:rsidRPr="00977F12">
              <w:rPr>
                <w:rFonts w:ascii="Arial Narrow" w:hAnsi="Arial Narrow"/>
                <w:b/>
                <w:color w:val="943634" w:themeColor="accent2" w:themeShade="BF"/>
              </w:rPr>
              <w:t>About Assessments</w:t>
            </w:r>
          </w:p>
          <w:p w:rsidR="00B63E4A" w:rsidRPr="00977F12" w:rsidRDefault="00B63E4A" w:rsidP="00B63E4A">
            <w:pPr>
              <w:pStyle w:val="ListParagraph"/>
              <w:numPr>
                <w:ilvl w:val="0"/>
                <w:numId w:val="19"/>
              </w:numPr>
              <w:rPr>
                <w:rFonts w:ascii="Arial Narrow" w:hAnsi="Arial Narrow"/>
                <w:b/>
                <w:color w:val="943634" w:themeColor="accent2" w:themeShade="BF"/>
              </w:rPr>
            </w:pPr>
            <w:r w:rsidRPr="00977F12">
              <w:rPr>
                <w:rFonts w:ascii="Arial Narrow" w:hAnsi="Arial Narrow"/>
                <w:b/>
                <w:color w:val="943634" w:themeColor="accent2" w:themeShade="BF"/>
              </w:rPr>
              <w:t>About Educational Functioning Levels (EFLs)</w:t>
            </w:r>
          </w:p>
          <w:p w:rsidR="00B63E4A" w:rsidRPr="00977F12" w:rsidRDefault="00B63E4A" w:rsidP="00B63E4A">
            <w:pPr>
              <w:pStyle w:val="ListParagraph"/>
              <w:numPr>
                <w:ilvl w:val="0"/>
                <w:numId w:val="19"/>
              </w:numPr>
              <w:rPr>
                <w:rFonts w:ascii="Arial Narrow" w:hAnsi="Arial Narrow"/>
                <w:b/>
                <w:color w:val="943634" w:themeColor="accent2" w:themeShade="BF"/>
              </w:rPr>
            </w:pPr>
            <w:r w:rsidRPr="00977F12">
              <w:rPr>
                <w:rFonts w:ascii="Arial Narrow" w:hAnsi="Arial Narrow"/>
                <w:b/>
                <w:color w:val="943634" w:themeColor="accent2" w:themeShade="BF"/>
              </w:rPr>
              <w:t>About Participation Years</w:t>
            </w:r>
          </w:p>
          <w:p w:rsidR="00B63E4A" w:rsidRPr="00977F12" w:rsidRDefault="00B63E4A" w:rsidP="00B63E4A">
            <w:pPr>
              <w:pStyle w:val="ListParagraph"/>
              <w:numPr>
                <w:ilvl w:val="0"/>
                <w:numId w:val="19"/>
              </w:numPr>
              <w:rPr>
                <w:rFonts w:ascii="Arial Narrow" w:hAnsi="Arial Narrow"/>
                <w:b/>
                <w:color w:val="943634" w:themeColor="accent2" w:themeShade="BF"/>
              </w:rPr>
            </w:pPr>
            <w:r w:rsidRPr="00977F12">
              <w:rPr>
                <w:rFonts w:ascii="Arial Narrow" w:hAnsi="Arial Narrow"/>
                <w:b/>
                <w:color w:val="943634" w:themeColor="accent2" w:themeShade="BF"/>
              </w:rPr>
              <w:t>About Lit/Num Reporting</w:t>
            </w:r>
          </w:p>
          <w:p w:rsidR="00B63E4A" w:rsidRPr="00977F12" w:rsidRDefault="00B63E4A" w:rsidP="00B63E4A">
            <w:pPr>
              <w:pStyle w:val="ListParagraph"/>
              <w:numPr>
                <w:ilvl w:val="0"/>
                <w:numId w:val="19"/>
              </w:numPr>
              <w:rPr>
                <w:rFonts w:ascii="Arial Narrow" w:hAnsi="Arial Narrow"/>
                <w:b/>
                <w:color w:val="943634" w:themeColor="accent2" w:themeShade="BF"/>
              </w:rPr>
            </w:pPr>
            <w:r w:rsidRPr="00977F12">
              <w:rPr>
                <w:rFonts w:ascii="Arial Narrow" w:hAnsi="Arial Narrow"/>
                <w:b/>
                <w:color w:val="943634" w:themeColor="accent2" w:themeShade="BF"/>
              </w:rPr>
              <w:t>Questions &amp; Answers</w:t>
            </w:r>
          </w:p>
          <w:p w:rsidR="00B63E4A" w:rsidRDefault="00B63E4A" w:rsidP="00B63E4A">
            <w:pPr>
              <w:rPr>
                <w:rFonts w:ascii="Arial Narrow" w:hAnsi="Arial Narrow"/>
                <w:b/>
              </w:rPr>
            </w:pPr>
          </w:p>
        </w:tc>
      </w:tr>
    </w:tbl>
    <w:p w:rsidR="00977F12" w:rsidRDefault="00977F12" w:rsidP="00811EAA">
      <w:pPr>
        <w:rPr>
          <w:rFonts w:ascii="Arial Narrow" w:hAnsi="Arial Narrow"/>
          <w:b/>
        </w:rPr>
      </w:pPr>
    </w:p>
    <w:p w:rsidR="00B63E4A" w:rsidRDefault="00B63E4A" w:rsidP="00811EAA">
      <w:pPr>
        <w:rPr>
          <w:rFonts w:ascii="Arial Narrow" w:hAnsi="Arial Narrow"/>
          <w:b/>
        </w:rPr>
      </w:pPr>
    </w:p>
    <w:p w:rsidR="00B63E4A" w:rsidRDefault="00B63E4A" w:rsidP="00811EAA">
      <w:pPr>
        <w:rPr>
          <w:rFonts w:ascii="Arial Narrow" w:hAnsi="Arial Narrow"/>
          <w:b/>
        </w:rPr>
      </w:pPr>
    </w:p>
    <w:p w:rsidR="00D07B5B" w:rsidRPr="00D07B5B" w:rsidRDefault="00C83160" w:rsidP="00C57B6E">
      <w:pPr>
        <w:rPr>
          <w:sz w:val="16"/>
          <w:szCs w:val="16"/>
        </w:rPr>
      </w:pPr>
      <w:r w:rsidRPr="00C83160">
        <w:rPr>
          <w:rFonts w:ascii="Arial Narrow" w:hAnsi="Arial Narrow"/>
          <w:b/>
          <w:smallCaps/>
          <w:shadow/>
          <w:noProof/>
          <w:color w:val="800000"/>
          <w:sz w:val="16"/>
          <w:szCs w:val="16"/>
          <w:lang w:eastAsia="zh-TW"/>
        </w:rPr>
        <w:pict>
          <v:shape id="_x0000_s1039" type="#_x0000_t202" style="position:absolute;margin-left:.3pt;margin-top:9.95pt;width:521.25pt;height:28.1pt;z-index:251676672;mso-width-relative:margin;mso-height-relative:margin" fillcolor="#943634 [2405]" strokecolor="#943634 [2405]" strokeweight="2.25pt">
            <v:textbox style="mso-next-textbox:#_x0000_s1039">
              <w:txbxContent>
                <w:p w:rsidR="00283480" w:rsidRPr="006D3163" w:rsidRDefault="00283480" w:rsidP="006D3163">
                  <w:pPr>
                    <w:rPr>
                      <w:rFonts w:ascii="Arial Narrow" w:hAnsi="Arial Narrow"/>
                      <w:b/>
                      <w:i/>
                      <w:smallCaps/>
                      <w:shadow/>
                      <w:color w:val="F2DBDB" w:themeColor="accent2" w:themeTint="33"/>
                      <w:sz w:val="36"/>
                      <w:szCs w:val="36"/>
                    </w:rPr>
                  </w:pPr>
                  <w:r>
                    <w:rPr>
                      <w:rFonts w:ascii="Arial Narrow" w:hAnsi="Arial Narrow"/>
                      <w:b/>
                      <w:i/>
                      <w:caps/>
                      <w:shadow/>
                      <w:color w:val="F2DBDB" w:themeColor="accent2" w:themeTint="33"/>
                      <w:sz w:val="36"/>
                      <w:szCs w:val="36"/>
                    </w:rPr>
                    <w:t xml:space="preserve">1. </w:t>
                  </w:r>
                  <w:r w:rsidRPr="006D3163">
                    <w:rPr>
                      <w:rFonts w:ascii="Arial Narrow" w:hAnsi="Arial Narrow"/>
                      <w:b/>
                      <w:i/>
                      <w:caps/>
                      <w:shadow/>
                      <w:color w:val="F2DBDB" w:themeColor="accent2" w:themeTint="33"/>
                      <w:sz w:val="36"/>
                      <w:szCs w:val="36"/>
                    </w:rPr>
                    <w:t>A</w:t>
                  </w:r>
                  <w:r w:rsidRPr="006D3163">
                    <w:rPr>
                      <w:rFonts w:ascii="Arial Narrow" w:hAnsi="Arial Narrow"/>
                      <w:b/>
                      <w:i/>
                      <w:smallCaps/>
                      <w:shadow/>
                      <w:color w:val="F2DBDB" w:themeColor="accent2" w:themeTint="33"/>
                      <w:sz w:val="36"/>
                      <w:szCs w:val="36"/>
                    </w:rPr>
                    <w:t xml:space="preserve">bout </w:t>
                  </w:r>
                  <w:r>
                    <w:rPr>
                      <w:rFonts w:ascii="Arial Narrow" w:hAnsi="Arial Narrow"/>
                      <w:b/>
                      <w:i/>
                      <w:smallCaps/>
                      <w:shadow/>
                      <w:color w:val="F2DBDB" w:themeColor="accent2" w:themeTint="33"/>
                      <w:sz w:val="36"/>
                      <w:szCs w:val="36"/>
                    </w:rPr>
                    <w:t>The Literacy/Numeracy Gains</w:t>
                  </w:r>
                  <w:r w:rsidRPr="006D3163">
                    <w:rPr>
                      <w:rFonts w:ascii="Arial Narrow" w:hAnsi="Arial Narrow"/>
                      <w:b/>
                      <w:i/>
                      <w:smallCaps/>
                      <w:shadow/>
                      <w:color w:val="F2DBDB" w:themeColor="accent2" w:themeTint="33"/>
                      <w:sz w:val="36"/>
                      <w:szCs w:val="36"/>
                    </w:rPr>
                    <w:t xml:space="preserve"> Measure</w:t>
                  </w:r>
                </w:p>
              </w:txbxContent>
            </v:textbox>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58"/>
        <w:gridCol w:w="270"/>
        <w:gridCol w:w="5400"/>
      </w:tblGrid>
      <w:tr w:rsidR="008B7DCF" w:rsidTr="00E268C4">
        <w:tc>
          <w:tcPr>
            <w:tcW w:w="5058" w:type="dxa"/>
          </w:tcPr>
          <w:p w:rsidR="005B19D9" w:rsidRDefault="005B19D9" w:rsidP="008B7DCF">
            <w:pPr>
              <w:rPr>
                <w:rFonts w:ascii="Arial Narrow" w:hAnsi="Arial Narrow"/>
                <w:b/>
                <w:color w:val="943634" w:themeColor="accent2" w:themeShade="BF"/>
              </w:rPr>
            </w:pPr>
          </w:p>
          <w:p w:rsidR="005B19D9" w:rsidRDefault="005B19D9" w:rsidP="008B7DCF">
            <w:pPr>
              <w:rPr>
                <w:rFonts w:ascii="Arial Narrow" w:hAnsi="Arial Narrow"/>
                <w:b/>
                <w:color w:val="943634" w:themeColor="accent2" w:themeShade="BF"/>
              </w:rPr>
            </w:pPr>
          </w:p>
          <w:p w:rsidR="00D07B5B" w:rsidRDefault="00D07B5B" w:rsidP="008B7DCF">
            <w:pPr>
              <w:rPr>
                <w:rFonts w:ascii="Arial Narrow" w:hAnsi="Arial Narrow"/>
                <w:b/>
                <w:color w:val="943634" w:themeColor="accent2" w:themeShade="BF"/>
              </w:rPr>
            </w:pPr>
          </w:p>
          <w:p w:rsidR="008B7DCF" w:rsidRPr="00E30983" w:rsidRDefault="008B7DCF" w:rsidP="008B7DCF">
            <w:pPr>
              <w:rPr>
                <w:rFonts w:ascii="Arial Narrow" w:hAnsi="Arial Narrow"/>
                <w:b/>
                <w:color w:val="943634" w:themeColor="accent2" w:themeShade="BF"/>
              </w:rPr>
            </w:pPr>
            <w:r w:rsidRPr="00E30983">
              <w:rPr>
                <w:rFonts w:ascii="Arial Narrow" w:hAnsi="Arial Narrow"/>
                <w:b/>
                <w:color w:val="943634" w:themeColor="accent2" w:themeShade="BF"/>
              </w:rPr>
              <w:t xml:space="preserve">Basic Facts:  </w:t>
            </w:r>
          </w:p>
          <w:p w:rsidR="00797C65" w:rsidRPr="00AE0D02" w:rsidRDefault="00797C65" w:rsidP="008B7DCF">
            <w:pPr>
              <w:pStyle w:val="ListParagraph"/>
              <w:numPr>
                <w:ilvl w:val="0"/>
                <w:numId w:val="15"/>
              </w:numPr>
              <w:rPr>
                <w:sz w:val="19"/>
                <w:szCs w:val="19"/>
              </w:rPr>
            </w:pPr>
            <w:r w:rsidRPr="00AE0D02">
              <w:rPr>
                <w:sz w:val="19"/>
                <w:szCs w:val="19"/>
              </w:rPr>
              <w:t>Targets basic skills deficient out-of-school youth</w:t>
            </w:r>
          </w:p>
          <w:p w:rsidR="00845ED4" w:rsidRPr="00AE0D02" w:rsidRDefault="00845ED4" w:rsidP="008B7DCF">
            <w:pPr>
              <w:pStyle w:val="ListParagraph"/>
              <w:numPr>
                <w:ilvl w:val="0"/>
                <w:numId w:val="15"/>
              </w:numPr>
              <w:rPr>
                <w:sz w:val="19"/>
                <w:szCs w:val="19"/>
              </w:rPr>
            </w:pPr>
            <w:r w:rsidRPr="00AE0D02">
              <w:rPr>
                <w:sz w:val="19"/>
                <w:szCs w:val="19"/>
              </w:rPr>
              <w:t xml:space="preserve">This is </w:t>
            </w:r>
            <w:r w:rsidR="00DD57B4">
              <w:rPr>
                <w:sz w:val="19"/>
                <w:szCs w:val="19"/>
              </w:rPr>
              <w:t xml:space="preserve">considered </w:t>
            </w:r>
            <w:r w:rsidRPr="00AE0D02">
              <w:rPr>
                <w:sz w:val="19"/>
                <w:szCs w:val="19"/>
              </w:rPr>
              <w:t>the only real-time common measure</w:t>
            </w:r>
            <w:r w:rsidR="00DD57B4">
              <w:rPr>
                <w:sz w:val="19"/>
                <w:szCs w:val="19"/>
              </w:rPr>
              <w:t xml:space="preserve"> because the measurement cohort is the same as that used for participation (no lag time)</w:t>
            </w:r>
          </w:p>
          <w:p w:rsidR="00FD15AE" w:rsidRPr="00AE0D02" w:rsidRDefault="00797C65" w:rsidP="008B7DCF">
            <w:pPr>
              <w:pStyle w:val="ListParagraph"/>
              <w:numPr>
                <w:ilvl w:val="0"/>
                <w:numId w:val="15"/>
              </w:numPr>
              <w:rPr>
                <w:sz w:val="19"/>
                <w:szCs w:val="19"/>
              </w:rPr>
            </w:pPr>
            <w:r w:rsidRPr="00AE0D02">
              <w:rPr>
                <w:sz w:val="19"/>
                <w:szCs w:val="19"/>
              </w:rPr>
              <w:t>Involves a</w:t>
            </w:r>
            <w:r w:rsidR="00FD15AE" w:rsidRPr="00AE0D02">
              <w:rPr>
                <w:sz w:val="19"/>
                <w:szCs w:val="19"/>
              </w:rPr>
              <w:t xml:space="preserve"> pre/post assessment w</w:t>
            </w:r>
            <w:r w:rsidRPr="00AE0D02">
              <w:rPr>
                <w:sz w:val="19"/>
                <w:szCs w:val="19"/>
              </w:rPr>
              <w:t xml:space="preserve">ith </w:t>
            </w:r>
            <w:r w:rsidR="00C4510D" w:rsidRPr="00AE0D02">
              <w:rPr>
                <w:sz w:val="19"/>
                <w:szCs w:val="19"/>
              </w:rPr>
              <w:t xml:space="preserve">up to </w:t>
            </w:r>
            <w:r w:rsidR="00FD15AE" w:rsidRPr="00AE0D02">
              <w:rPr>
                <w:sz w:val="19"/>
                <w:szCs w:val="19"/>
              </w:rPr>
              <w:t>one y</w:t>
            </w:r>
            <w:r w:rsidR="00C4510D" w:rsidRPr="00AE0D02">
              <w:rPr>
                <w:sz w:val="19"/>
                <w:szCs w:val="19"/>
              </w:rPr>
              <w:t>ea</w:t>
            </w:r>
            <w:r w:rsidR="00FD15AE" w:rsidRPr="00AE0D02">
              <w:rPr>
                <w:sz w:val="19"/>
                <w:szCs w:val="19"/>
              </w:rPr>
              <w:t>r in between</w:t>
            </w:r>
            <w:r w:rsidRPr="00AE0D02">
              <w:rPr>
                <w:sz w:val="19"/>
                <w:szCs w:val="19"/>
              </w:rPr>
              <w:t xml:space="preserve"> to advance skill levels</w:t>
            </w:r>
          </w:p>
          <w:p w:rsidR="00276784" w:rsidRPr="00AE0D02" w:rsidRDefault="00FD15AE" w:rsidP="008B7DCF">
            <w:pPr>
              <w:pStyle w:val="ListParagraph"/>
              <w:numPr>
                <w:ilvl w:val="0"/>
                <w:numId w:val="15"/>
              </w:numPr>
              <w:rPr>
                <w:sz w:val="19"/>
                <w:szCs w:val="19"/>
              </w:rPr>
            </w:pPr>
            <w:r w:rsidRPr="00AE0D02">
              <w:rPr>
                <w:sz w:val="19"/>
                <w:szCs w:val="19"/>
              </w:rPr>
              <w:t>Measurement is b</w:t>
            </w:r>
            <w:r w:rsidR="00276784" w:rsidRPr="00AE0D02">
              <w:rPr>
                <w:sz w:val="19"/>
                <w:szCs w:val="19"/>
              </w:rPr>
              <w:t xml:space="preserve">ased on </w:t>
            </w:r>
            <w:r w:rsidR="00276784" w:rsidRPr="00AE0D02">
              <w:rPr>
                <w:i/>
                <w:sz w:val="19"/>
                <w:szCs w:val="19"/>
              </w:rPr>
              <w:t xml:space="preserve">youth </w:t>
            </w:r>
            <w:r w:rsidR="00276784" w:rsidRPr="00AE0D02">
              <w:rPr>
                <w:sz w:val="19"/>
                <w:szCs w:val="19"/>
              </w:rPr>
              <w:t>program participation</w:t>
            </w:r>
            <w:r w:rsidR="00E268C4" w:rsidRPr="00AE0D02">
              <w:rPr>
                <w:sz w:val="19"/>
                <w:szCs w:val="19"/>
              </w:rPr>
              <w:t xml:space="preserve"> (i.e., measured at the one year anniversary based on date of first youth service</w:t>
            </w:r>
            <w:r w:rsidR="00AE0D02" w:rsidRPr="00AE0D02">
              <w:rPr>
                <w:sz w:val="19"/>
                <w:szCs w:val="19"/>
              </w:rPr>
              <w:t xml:space="preserve"> or FYS</w:t>
            </w:r>
            <w:r w:rsidR="00E268C4" w:rsidRPr="00AE0D02">
              <w:rPr>
                <w:sz w:val="19"/>
                <w:szCs w:val="19"/>
              </w:rPr>
              <w:t>)</w:t>
            </w:r>
          </w:p>
          <w:p w:rsidR="00AE0D02" w:rsidRPr="00F04709" w:rsidRDefault="00AE0D02" w:rsidP="000C19C2">
            <w:pPr>
              <w:pStyle w:val="ListParagraph"/>
              <w:numPr>
                <w:ilvl w:val="1"/>
                <w:numId w:val="15"/>
              </w:numPr>
              <w:rPr>
                <w:sz w:val="19"/>
                <w:szCs w:val="19"/>
              </w:rPr>
            </w:pPr>
            <w:r w:rsidRPr="00F04709">
              <w:rPr>
                <w:sz w:val="19"/>
                <w:szCs w:val="19"/>
              </w:rPr>
              <w:t>Youth Program Participation has the same meaning as Date of FYS</w:t>
            </w:r>
          </w:p>
          <w:p w:rsidR="00276784" w:rsidRDefault="00276784" w:rsidP="008B7DCF">
            <w:pPr>
              <w:pStyle w:val="ListParagraph"/>
              <w:numPr>
                <w:ilvl w:val="0"/>
                <w:numId w:val="15"/>
              </w:numPr>
              <w:rPr>
                <w:sz w:val="20"/>
                <w:szCs w:val="20"/>
              </w:rPr>
            </w:pPr>
            <w:r w:rsidRPr="00AE0D02">
              <w:rPr>
                <w:sz w:val="19"/>
                <w:szCs w:val="19"/>
              </w:rPr>
              <w:t>Pertinent federal policy guidance: TEGL 17-05, TEGL 17-05 Change 2, and TEGL 18-11</w:t>
            </w:r>
            <w:r w:rsidR="00176771" w:rsidRPr="00AE0D02">
              <w:rPr>
                <w:sz w:val="19"/>
                <w:szCs w:val="19"/>
              </w:rPr>
              <w:t xml:space="preserve"> (links below)</w:t>
            </w:r>
            <w:r w:rsidR="00176771">
              <w:rPr>
                <w:sz w:val="20"/>
                <w:szCs w:val="20"/>
              </w:rPr>
              <w:t xml:space="preserve"> </w:t>
            </w:r>
            <w:r w:rsidR="002A63F6">
              <w:rPr>
                <w:sz w:val="20"/>
                <w:szCs w:val="20"/>
              </w:rPr>
              <w:t xml:space="preserve"> </w:t>
            </w:r>
          </w:p>
          <w:p w:rsidR="001052CE" w:rsidRPr="001052CE" w:rsidRDefault="001052CE" w:rsidP="001052CE">
            <w:pPr>
              <w:pStyle w:val="CommentText"/>
              <w:rPr>
                <w:sz w:val="18"/>
                <w:szCs w:val="18"/>
              </w:rPr>
            </w:pPr>
            <w:r>
              <w:rPr>
                <w:sz w:val="18"/>
                <w:szCs w:val="18"/>
              </w:rPr>
              <w:t xml:space="preserve">          </w:t>
            </w:r>
            <w:hyperlink r:id="rId7" w:history="1">
              <w:r w:rsidRPr="001052CE">
                <w:rPr>
                  <w:rStyle w:val="Hyperlink"/>
                  <w:sz w:val="18"/>
                  <w:szCs w:val="18"/>
                </w:rPr>
                <w:t>http://wdr.doleta.gov/directives/corr_doc.cfm?DOCN=2195</w:t>
              </w:r>
            </w:hyperlink>
          </w:p>
          <w:p w:rsidR="001052CE" w:rsidRPr="001052CE" w:rsidRDefault="001052CE" w:rsidP="001052CE">
            <w:pPr>
              <w:pStyle w:val="CommentText"/>
              <w:rPr>
                <w:sz w:val="18"/>
                <w:szCs w:val="18"/>
              </w:rPr>
            </w:pPr>
            <w:r>
              <w:rPr>
                <w:sz w:val="18"/>
                <w:szCs w:val="18"/>
              </w:rPr>
              <w:t xml:space="preserve">          </w:t>
            </w:r>
            <w:hyperlink r:id="rId8" w:history="1">
              <w:r w:rsidRPr="001052CE">
                <w:rPr>
                  <w:rStyle w:val="Hyperlink"/>
                  <w:sz w:val="18"/>
                  <w:szCs w:val="18"/>
                </w:rPr>
                <w:t>http://wdr.doleta.gov/directives/corr_doc.cfm?DOCN=2759</w:t>
              </w:r>
            </w:hyperlink>
          </w:p>
          <w:p w:rsidR="001052CE" w:rsidRPr="001052CE" w:rsidRDefault="001052CE" w:rsidP="001052CE">
            <w:pPr>
              <w:pStyle w:val="CommentText"/>
              <w:rPr>
                <w:sz w:val="18"/>
                <w:szCs w:val="18"/>
              </w:rPr>
            </w:pPr>
            <w:r>
              <w:rPr>
                <w:sz w:val="18"/>
                <w:szCs w:val="18"/>
              </w:rPr>
              <w:t xml:space="preserve">          </w:t>
            </w:r>
            <w:hyperlink r:id="rId9" w:history="1">
              <w:r w:rsidRPr="001052CE">
                <w:rPr>
                  <w:rStyle w:val="Hyperlink"/>
                  <w:sz w:val="18"/>
                  <w:szCs w:val="18"/>
                </w:rPr>
                <w:t>http://wdr.doleta.gov/directives/corr_doc.cfm?DOCN=4054</w:t>
              </w:r>
            </w:hyperlink>
          </w:p>
          <w:p w:rsidR="008B7DCF" w:rsidRDefault="008B7DCF" w:rsidP="008B7DCF"/>
          <w:p w:rsidR="00845ED4" w:rsidRDefault="00845ED4" w:rsidP="00845ED4">
            <w:pPr>
              <w:rPr>
                <w:rFonts w:ascii="Arial Narrow" w:hAnsi="Arial Narrow"/>
                <w:b/>
                <w:color w:val="943634" w:themeColor="accent2" w:themeShade="BF"/>
              </w:rPr>
            </w:pPr>
            <w:r w:rsidRPr="007C14FB">
              <w:rPr>
                <w:rFonts w:ascii="Arial Narrow" w:hAnsi="Arial Narrow"/>
                <w:b/>
                <w:color w:val="943634" w:themeColor="accent2" w:themeShade="BF"/>
              </w:rPr>
              <w:t xml:space="preserve">How is </w:t>
            </w:r>
            <w:r>
              <w:rPr>
                <w:rFonts w:ascii="Arial Narrow" w:hAnsi="Arial Narrow"/>
                <w:b/>
                <w:color w:val="943634" w:themeColor="accent2" w:themeShade="BF"/>
              </w:rPr>
              <w:t xml:space="preserve">it </w:t>
            </w:r>
            <w:r w:rsidRPr="007C14FB">
              <w:rPr>
                <w:rFonts w:ascii="Arial Narrow" w:hAnsi="Arial Narrow"/>
                <w:b/>
                <w:color w:val="943634" w:themeColor="accent2" w:themeShade="BF"/>
              </w:rPr>
              <w:t>Defined?</w:t>
            </w:r>
            <w:r>
              <w:rPr>
                <w:rFonts w:ascii="Arial Narrow" w:hAnsi="Arial Narrow"/>
                <w:b/>
                <w:color w:val="943634" w:themeColor="accent2" w:themeShade="BF"/>
              </w:rPr>
              <w:t xml:space="preserve">  </w:t>
            </w:r>
          </w:p>
          <w:p w:rsidR="00845ED4" w:rsidRPr="00AE0D02" w:rsidRDefault="00845ED4" w:rsidP="00845ED4">
            <w:pPr>
              <w:rPr>
                <w:i/>
                <w:sz w:val="19"/>
                <w:szCs w:val="19"/>
              </w:rPr>
            </w:pPr>
            <w:r w:rsidRPr="00AE0D02">
              <w:rPr>
                <w:i/>
                <w:sz w:val="19"/>
                <w:szCs w:val="19"/>
              </w:rPr>
              <w:t xml:space="preserve">Of those out-of-school youth who are basic skills deficient: </w:t>
            </w:r>
          </w:p>
          <w:p w:rsidR="00AE0D02" w:rsidRPr="00AE0D02" w:rsidRDefault="00845ED4" w:rsidP="00AE0D02">
            <w:pPr>
              <w:rPr>
                <w:sz w:val="19"/>
                <w:szCs w:val="19"/>
              </w:rPr>
            </w:pPr>
            <w:r w:rsidRPr="00AE0D02">
              <w:rPr>
                <w:sz w:val="19"/>
                <w:szCs w:val="19"/>
              </w:rPr>
              <w:t xml:space="preserve">The </w:t>
            </w:r>
            <w:proofErr w:type="gramStart"/>
            <w:r w:rsidRPr="00AE0D02">
              <w:rPr>
                <w:sz w:val="19"/>
                <w:szCs w:val="19"/>
              </w:rPr>
              <w:t>number who increase</w:t>
            </w:r>
            <w:proofErr w:type="gramEnd"/>
            <w:r w:rsidRPr="00AE0D02">
              <w:rPr>
                <w:sz w:val="19"/>
                <w:szCs w:val="19"/>
              </w:rPr>
              <w:t xml:space="preserve"> one or more educational </w:t>
            </w:r>
            <w:r w:rsidR="000A5DB5" w:rsidRPr="00AE0D02">
              <w:rPr>
                <w:sz w:val="19"/>
                <w:szCs w:val="19"/>
              </w:rPr>
              <w:t>functioning levels</w:t>
            </w:r>
            <w:r w:rsidR="005960F7">
              <w:rPr>
                <w:sz w:val="19"/>
                <w:szCs w:val="19"/>
              </w:rPr>
              <w:t xml:space="preserve"> (EFL)</w:t>
            </w:r>
            <w:r w:rsidR="000A5DB5" w:rsidRPr="00AE0D02">
              <w:rPr>
                <w:sz w:val="19"/>
                <w:szCs w:val="19"/>
              </w:rPr>
              <w:t xml:space="preserve"> </w:t>
            </w:r>
            <w:r w:rsidR="000A5DB5" w:rsidRPr="00AE0D02">
              <w:rPr>
                <w:i/>
                <w:sz w:val="19"/>
                <w:szCs w:val="19"/>
              </w:rPr>
              <w:t xml:space="preserve">divided </w:t>
            </w:r>
            <w:r w:rsidR="000A5DB5" w:rsidRPr="00AE0D02">
              <w:rPr>
                <w:sz w:val="19"/>
                <w:szCs w:val="19"/>
              </w:rPr>
              <w:t xml:space="preserve">by the number who complete a year in the youth program </w:t>
            </w:r>
            <w:r w:rsidR="000A5DB5" w:rsidRPr="00AE0D02">
              <w:rPr>
                <w:i/>
                <w:sz w:val="19"/>
                <w:szCs w:val="19"/>
              </w:rPr>
              <w:t xml:space="preserve">plus </w:t>
            </w:r>
            <w:r w:rsidR="000A5DB5" w:rsidRPr="00AE0D02">
              <w:rPr>
                <w:sz w:val="19"/>
                <w:szCs w:val="19"/>
              </w:rPr>
              <w:t>the number who exit before completing their first year.</w:t>
            </w:r>
            <w:r w:rsidR="00AE0D02">
              <w:rPr>
                <w:sz w:val="19"/>
                <w:szCs w:val="19"/>
              </w:rPr>
              <w:t xml:space="preserve">  </w:t>
            </w:r>
            <w:r w:rsidR="00AE0D02" w:rsidRPr="00AE0D02">
              <w:rPr>
                <w:sz w:val="19"/>
                <w:szCs w:val="19"/>
              </w:rPr>
              <w:t xml:space="preserve">For years two and three, the definition </w:t>
            </w:r>
            <w:r w:rsidR="000C19C2">
              <w:rPr>
                <w:sz w:val="19"/>
                <w:szCs w:val="19"/>
              </w:rPr>
              <w:t>changes slightly to</w:t>
            </w:r>
            <w:r w:rsidR="00AE0D02" w:rsidRPr="00AE0D02">
              <w:rPr>
                <w:sz w:val="19"/>
                <w:szCs w:val="19"/>
              </w:rPr>
              <w:t xml:space="preserve">: The </w:t>
            </w:r>
            <w:proofErr w:type="gramStart"/>
            <w:r w:rsidR="00AE0D02" w:rsidRPr="00AE0D02">
              <w:rPr>
                <w:sz w:val="19"/>
                <w:szCs w:val="19"/>
              </w:rPr>
              <w:t>number who increase</w:t>
            </w:r>
            <w:proofErr w:type="gramEnd"/>
            <w:r w:rsidR="00AE0D02" w:rsidRPr="00AE0D02">
              <w:rPr>
                <w:sz w:val="19"/>
                <w:szCs w:val="19"/>
              </w:rPr>
              <w:t xml:space="preserve"> one or more educational functioning levels </w:t>
            </w:r>
            <w:r w:rsidR="00AE0D02" w:rsidRPr="00AE0D02">
              <w:rPr>
                <w:i/>
                <w:sz w:val="19"/>
                <w:szCs w:val="19"/>
              </w:rPr>
              <w:t xml:space="preserve">divided by </w:t>
            </w:r>
            <w:r w:rsidR="00AE0D02" w:rsidRPr="00AE0D02">
              <w:rPr>
                <w:sz w:val="19"/>
                <w:szCs w:val="19"/>
              </w:rPr>
              <w:t>the number who complete their second (or third) year.</w:t>
            </w:r>
            <w:r w:rsidR="00811EAA">
              <w:rPr>
                <w:sz w:val="19"/>
                <w:szCs w:val="19"/>
              </w:rPr>
              <w:t xml:space="preserve"> (Youth are excluded from this measure after their third year.)</w:t>
            </w:r>
          </w:p>
          <w:p w:rsidR="00023527" w:rsidRDefault="00AE0D02" w:rsidP="00023527">
            <w:pPr>
              <w:rPr>
                <w:sz w:val="20"/>
                <w:szCs w:val="20"/>
              </w:rPr>
            </w:pPr>
            <w:r>
              <w:rPr>
                <w:sz w:val="20"/>
                <w:szCs w:val="20"/>
              </w:rPr>
              <w:t xml:space="preserve"> </w:t>
            </w:r>
          </w:p>
          <w:p w:rsidR="00F04709" w:rsidRDefault="00F04709" w:rsidP="00F04709">
            <w:pPr>
              <w:rPr>
                <w:rFonts w:ascii="Arial Narrow" w:hAnsi="Arial Narrow"/>
                <w:b/>
                <w:color w:val="943634" w:themeColor="accent2" w:themeShade="BF"/>
              </w:rPr>
            </w:pPr>
            <w:r w:rsidRPr="007C14FB">
              <w:rPr>
                <w:rFonts w:ascii="Arial Narrow" w:hAnsi="Arial Narrow"/>
                <w:b/>
                <w:color w:val="943634" w:themeColor="accent2" w:themeShade="BF"/>
              </w:rPr>
              <w:t>Who’s Included?</w:t>
            </w:r>
            <w:r>
              <w:rPr>
                <w:rFonts w:ascii="Arial Narrow" w:hAnsi="Arial Narrow"/>
                <w:b/>
                <w:color w:val="943634" w:themeColor="accent2" w:themeShade="BF"/>
              </w:rPr>
              <w:t xml:space="preserve">  </w:t>
            </w:r>
          </w:p>
          <w:p w:rsidR="00F04709" w:rsidRDefault="00F04709" w:rsidP="00F04709">
            <w:pPr>
              <w:rPr>
                <w:sz w:val="19"/>
                <w:szCs w:val="19"/>
              </w:rPr>
            </w:pPr>
            <w:r w:rsidRPr="00F63C4B">
              <w:rPr>
                <w:sz w:val="19"/>
                <w:szCs w:val="19"/>
              </w:rPr>
              <w:t xml:space="preserve">This is another way of asking who’s in the denominator. The measure includes only </w:t>
            </w:r>
            <w:r w:rsidRPr="00F63C4B">
              <w:rPr>
                <w:i/>
                <w:sz w:val="19"/>
                <w:szCs w:val="19"/>
              </w:rPr>
              <w:t xml:space="preserve">out-of-school youth who are basic skills deficient. </w:t>
            </w:r>
            <w:r w:rsidRPr="00F63C4B">
              <w:rPr>
                <w:sz w:val="19"/>
                <w:szCs w:val="19"/>
              </w:rPr>
              <w:t xml:space="preserve">In other words, the first criterion for inclusion is youth who are out-of-school.  The second criterion for inclusion is basic skills deficiency.  </w:t>
            </w:r>
          </w:p>
          <w:p w:rsidR="005960F7" w:rsidRDefault="005960F7" w:rsidP="005960F7">
            <w:pPr>
              <w:rPr>
                <w:sz w:val="19"/>
                <w:szCs w:val="19"/>
              </w:rPr>
            </w:pPr>
          </w:p>
          <w:p w:rsidR="005960F7" w:rsidRPr="00845ED4" w:rsidRDefault="00C83160" w:rsidP="005960F7">
            <w:r w:rsidRPr="00C83160">
              <w:rPr>
                <w:rFonts w:ascii="Arial Narrow" w:hAnsi="Arial Narrow"/>
                <w:b/>
                <w:smallCaps/>
                <w:shadow/>
                <w:noProof/>
                <w:color w:val="800000"/>
                <w:sz w:val="32"/>
                <w:szCs w:val="32"/>
              </w:rPr>
              <w:lastRenderedPageBreak/>
              <w:pict>
                <v:shape id="_x0000_s1040" type="#_x0000_t202" style="position:absolute;margin-left:.3pt;margin-top:-2.75pt;width:521.25pt;height:28.1pt;z-index:251677696;mso-position-horizontal-relative:text;mso-position-vertical-relative:text;mso-width-relative:margin;mso-height-relative:margin" fillcolor="#943634 [2405]" strokecolor="#943634 [2405]" strokeweight="2.25pt">
                  <v:textbox style="mso-next-textbox:#_x0000_s1040">
                    <w:txbxContent>
                      <w:p w:rsidR="00283480" w:rsidRPr="006D3163" w:rsidRDefault="00283480" w:rsidP="006D3163">
                        <w:pPr>
                          <w:rPr>
                            <w:rFonts w:ascii="Arial Narrow" w:hAnsi="Arial Narrow"/>
                            <w:b/>
                            <w:i/>
                            <w:smallCaps/>
                            <w:shadow/>
                            <w:color w:val="F2DBDB" w:themeColor="accent2" w:themeTint="33"/>
                            <w:sz w:val="36"/>
                            <w:szCs w:val="36"/>
                          </w:rPr>
                        </w:pPr>
                        <w:r>
                          <w:rPr>
                            <w:rFonts w:ascii="Arial Narrow" w:hAnsi="Arial Narrow"/>
                            <w:b/>
                            <w:i/>
                            <w:caps/>
                            <w:shadow/>
                            <w:color w:val="F2DBDB" w:themeColor="accent2" w:themeTint="33"/>
                            <w:sz w:val="36"/>
                            <w:szCs w:val="36"/>
                          </w:rPr>
                          <w:t xml:space="preserve">2. </w:t>
                        </w:r>
                        <w:r w:rsidRPr="006D3163">
                          <w:rPr>
                            <w:rFonts w:ascii="Arial Narrow" w:hAnsi="Arial Narrow"/>
                            <w:b/>
                            <w:i/>
                            <w:caps/>
                            <w:shadow/>
                            <w:color w:val="F2DBDB" w:themeColor="accent2" w:themeTint="33"/>
                            <w:sz w:val="36"/>
                            <w:szCs w:val="36"/>
                          </w:rPr>
                          <w:t>A</w:t>
                        </w:r>
                        <w:r w:rsidRPr="006D3163">
                          <w:rPr>
                            <w:rFonts w:ascii="Arial Narrow" w:hAnsi="Arial Narrow"/>
                            <w:b/>
                            <w:i/>
                            <w:smallCaps/>
                            <w:shadow/>
                            <w:color w:val="F2DBDB" w:themeColor="accent2" w:themeTint="33"/>
                            <w:sz w:val="36"/>
                            <w:szCs w:val="36"/>
                          </w:rPr>
                          <w:t xml:space="preserve">bout </w:t>
                        </w:r>
                        <w:r>
                          <w:rPr>
                            <w:rFonts w:ascii="Arial Narrow" w:hAnsi="Arial Narrow"/>
                            <w:b/>
                            <w:i/>
                            <w:smallCaps/>
                            <w:shadow/>
                            <w:color w:val="F2DBDB" w:themeColor="accent2" w:themeTint="33"/>
                            <w:sz w:val="36"/>
                            <w:szCs w:val="36"/>
                          </w:rPr>
                          <w:t>Assessments</w:t>
                        </w:r>
                      </w:p>
                    </w:txbxContent>
                  </v:textbox>
                </v:shape>
              </w:pict>
            </w:r>
          </w:p>
        </w:tc>
        <w:tc>
          <w:tcPr>
            <w:tcW w:w="270" w:type="dxa"/>
          </w:tcPr>
          <w:p w:rsidR="00276784" w:rsidRDefault="00276784" w:rsidP="008B7DCF"/>
          <w:p w:rsidR="00462331" w:rsidRDefault="00462331" w:rsidP="008B7DCF"/>
          <w:p w:rsidR="00E268C4" w:rsidRDefault="00E268C4" w:rsidP="008B7DCF"/>
          <w:p w:rsidR="00FD15AE" w:rsidRDefault="00FD15AE" w:rsidP="008B7DCF"/>
          <w:p w:rsidR="00276784" w:rsidRDefault="00276784" w:rsidP="008B7DCF"/>
        </w:tc>
        <w:tc>
          <w:tcPr>
            <w:tcW w:w="5400" w:type="dxa"/>
          </w:tcPr>
          <w:p w:rsidR="00E30983" w:rsidRDefault="00E30983" w:rsidP="00276784">
            <w:pPr>
              <w:rPr>
                <w:rFonts w:ascii="Arial Narrow" w:hAnsi="Arial Narrow"/>
                <w:b/>
                <w:color w:val="943634" w:themeColor="accent2" w:themeShade="BF"/>
              </w:rPr>
            </w:pPr>
          </w:p>
          <w:p w:rsidR="005B19D9" w:rsidRDefault="005B19D9" w:rsidP="00276784">
            <w:pPr>
              <w:rPr>
                <w:rFonts w:ascii="Arial Narrow" w:hAnsi="Arial Narrow"/>
                <w:b/>
                <w:color w:val="943634" w:themeColor="accent2" w:themeShade="BF"/>
              </w:rPr>
            </w:pPr>
          </w:p>
          <w:p w:rsidR="004E796A" w:rsidRDefault="004E796A" w:rsidP="00276784">
            <w:pPr>
              <w:rPr>
                <w:rFonts w:ascii="Arial Narrow" w:hAnsi="Arial Narrow"/>
                <w:b/>
                <w:color w:val="943634" w:themeColor="accent2" w:themeShade="BF"/>
              </w:rPr>
            </w:pPr>
          </w:p>
          <w:p w:rsidR="00F04709" w:rsidRDefault="00F04709" w:rsidP="00F04709">
            <w:pPr>
              <w:rPr>
                <w:sz w:val="19"/>
                <w:szCs w:val="19"/>
              </w:rPr>
            </w:pPr>
          </w:p>
          <w:p w:rsidR="00F04709" w:rsidRDefault="00DD57B4" w:rsidP="00276784">
            <w:pPr>
              <w:rPr>
                <w:sz w:val="19"/>
                <w:szCs w:val="19"/>
              </w:rPr>
            </w:pPr>
            <w:r>
              <w:rPr>
                <w:sz w:val="19"/>
                <w:szCs w:val="19"/>
              </w:rPr>
              <w:t>For the purpose of this measure, a</w:t>
            </w:r>
            <w:r w:rsidR="00276784" w:rsidRPr="00F63C4B">
              <w:rPr>
                <w:sz w:val="19"/>
                <w:szCs w:val="19"/>
              </w:rPr>
              <w:t xml:space="preserve">n </w:t>
            </w:r>
            <w:r w:rsidR="00F04709">
              <w:rPr>
                <w:sz w:val="19"/>
                <w:szCs w:val="19"/>
              </w:rPr>
              <w:t>o</w:t>
            </w:r>
            <w:r w:rsidR="000C19C2">
              <w:rPr>
                <w:sz w:val="19"/>
                <w:szCs w:val="19"/>
              </w:rPr>
              <w:t>u</w:t>
            </w:r>
            <w:r w:rsidR="00276784" w:rsidRPr="00F63C4B">
              <w:rPr>
                <w:sz w:val="19"/>
                <w:szCs w:val="19"/>
              </w:rPr>
              <w:t>t-of-</w:t>
            </w:r>
            <w:r w:rsidR="00F04709">
              <w:rPr>
                <w:sz w:val="19"/>
                <w:szCs w:val="19"/>
              </w:rPr>
              <w:t>s</w:t>
            </w:r>
            <w:r w:rsidR="00276784" w:rsidRPr="00F63C4B">
              <w:rPr>
                <w:sz w:val="19"/>
                <w:szCs w:val="19"/>
              </w:rPr>
              <w:t>chool youth is a youth who is either not attending school</w:t>
            </w:r>
            <w:r w:rsidR="00AE0D02" w:rsidRPr="00F63C4B">
              <w:rPr>
                <w:sz w:val="19"/>
                <w:szCs w:val="19"/>
              </w:rPr>
              <w:t xml:space="preserve"> (i.e., a high school dropout or </w:t>
            </w:r>
            <w:r w:rsidR="00F63C4B" w:rsidRPr="00F63C4B">
              <w:rPr>
                <w:sz w:val="19"/>
                <w:szCs w:val="19"/>
              </w:rPr>
              <w:t xml:space="preserve">high school </w:t>
            </w:r>
            <w:r w:rsidR="00AE0D02" w:rsidRPr="00F63C4B">
              <w:rPr>
                <w:sz w:val="19"/>
                <w:szCs w:val="19"/>
              </w:rPr>
              <w:t>graduate)</w:t>
            </w:r>
            <w:r w:rsidR="00276784" w:rsidRPr="00F63C4B">
              <w:rPr>
                <w:sz w:val="19"/>
                <w:szCs w:val="19"/>
              </w:rPr>
              <w:t xml:space="preserve"> </w:t>
            </w:r>
            <w:r w:rsidR="00276784" w:rsidRPr="00F63C4B">
              <w:rPr>
                <w:sz w:val="19"/>
                <w:szCs w:val="19"/>
                <w:u w:val="single"/>
              </w:rPr>
              <w:t>or</w:t>
            </w:r>
            <w:r w:rsidR="00276784" w:rsidRPr="00F63C4B">
              <w:rPr>
                <w:sz w:val="19"/>
                <w:szCs w:val="19"/>
              </w:rPr>
              <w:t xml:space="preserve"> attending post-secondary school </w:t>
            </w:r>
            <w:r w:rsidR="00E30983" w:rsidRPr="00F63C4B">
              <w:rPr>
                <w:sz w:val="19"/>
                <w:szCs w:val="19"/>
              </w:rPr>
              <w:t>but</w:t>
            </w:r>
            <w:r w:rsidR="00276784" w:rsidRPr="00F63C4B">
              <w:rPr>
                <w:sz w:val="19"/>
                <w:szCs w:val="19"/>
              </w:rPr>
              <w:t xml:space="preserve"> is basic skills deficient.  </w:t>
            </w:r>
          </w:p>
          <w:p w:rsidR="00F04709" w:rsidRDefault="00F04709" w:rsidP="00276784">
            <w:pPr>
              <w:rPr>
                <w:sz w:val="19"/>
                <w:szCs w:val="19"/>
              </w:rPr>
            </w:pPr>
          </w:p>
          <w:p w:rsidR="008B0E62" w:rsidRPr="00F63C4B" w:rsidRDefault="00DD57B4" w:rsidP="00276784">
            <w:pPr>
              <w:rPr>
                <w:sz w:val="19"/>
                <w:szCs w:val="19"/>
              </w:rPr>
            </w:pPr>
            <w:r>
              <w:rPr>
                <w:sz w:val="19"/>
                <w:szCs w:val="19"/>
              </w:rPr>
              <w:t xml:space="preserve">In other words, a HS dropout or graduate </w:t>
            </w:r>
            <w:r w:rsidR="00F04709">
              <w:rPr>
                <w:sz w:val="19"/>
                <w:szCs w:val="19"/>
              </w:rPr>
              <w:t xml:space="preserve">who is not attending school </w:t>
            </w:r>
            <w:r>
              <w:rPr>
                <w:sz w:val="19"/>
                <w:szCs w:val="19"/>
              </w:rPr>
              <w:t xml:space="preserve">will always be considered an out-of-school youth whether basic skills deficient or not (if not basic skills deficient, they would </w:t>
            </w:r>
            <w:r w:rsidRPr="00811EAA">
              <w:rPr>
                <w:sz w:val="19"/>
                <w:szCs w:val="19"/>
                <w:u w:val="single"/>
              </w:rPr>
              <w:t>not</w:t>
            </w:r>
            <w:r>
              <w:rPr>
                <w:sz w:val="19"/>
                <w:szCs w:val="19"/>
              </w:rPr>
              <w:t xml:space="preserve"> be included in the measure), but a youth attending post-secondary school is only considered an out-of-school youth if basic skills deficient.</w:t>
            </w:r>
          </w:p>
          <w:p w:rsidR="008B0E62" w:rsidRPr="00F63C4B" w:rsidRDefault="008B0E62" w:rsidP="00276784">
            <w:pPr>
              <w:rPr>
                <w:sz w:val="19"/>
                <w:szCs w:val="19"/>
              </w:rPr>
            </w:pPr>
          </w:p>
          <w:p w:rsidR="00F04709" w:rsidRDefault="0025440C">
            <w:pPr>
              <w:autoSpaceDE w:val="0"/>
              <w:autoSpaceDN w:val="0"/>
              <w:adjustRightInd w:val="0"/>
              <w:rPr>
                <w:sz w:val="19"/>
                <w:szCs w:val="19"/>
              </w:rPr>
            </w:pPr>
            <w:r w:rsidRPr="00F63C4B">
              <w:rPr>
                <w:sz w:val="19"/>
                <w:szCs w:val="19"/>
              </w:rPr>
              <w:t>Basic Skills Deficient means t</w:t>
            </w:r>
            <w:r w:rsidR="00D96ED0" w:rsidRPr="00F63C4B">
              <w:rPr>
                <w:sz w:val="19"/>
                <w:szCs w:val="19"/>
              </w:rPr>
              <w:t>he individual computes or solves problems, reads, writes, or speaks English at or below the eighth grade level or is unable to compute or solve problems, read, write, or speak English at a level necessary to function on the job, in the individual’s family, or in society</w:t>
            </w:r>
            <w:r w:rsidR="008B0E62" w:rsidRPr="00F63C4B">
              <w:rPr>
                <w:sz w:val="19"/>
                <w:szCs w:val="19"/>
              </w:rPr>
              <w:t xml:space="preserve"> (reference WIA, Sec. 101(4)).</w:t>
            </w:r>
            <w:r w:rsidR="00DD57B4">
              <w:rPr>
                <w:sz w:val="19"/>
                <w:szCs w:val="19"/>
              </w:rPr>
              <w:t xml:space="preserve">  </w:t>
            </w:r>
          </w:p>
          <w:p w:rsidR="00F04709" w:rsidRDefault="00F04709">
            <w:pPr>
              <w:autoSpaceDE w:val="0"/>
              <w:autoSpaceDN w:val="0"/>
              <w:adjustRightInd w:val="0"/>
              <w:rPr>
                <w:sz w:val="19"/>
                <w:szCs w:val="19"/>
              </w:rPr>
            </w:pPr>
          </w:p>
          <w:p w:rsidR="00F04709" w:rsidRDefault="00DD57B4">
            <w:pPr>
              <w:autoSpaceDE w:val="0"/>
              <w:autoSpaceDN w:val="0"/>
              <w:adjustRightInd w:val="0"/>
              <w:rPr>
                <w:rFonts w:ascii="Arial" w:hAnsi="Arial" w:cs="Arial"/>
                <w:sz w:val="14"/>
                <w:szCs w:val="14"/>
              </w:rPr>
            </w:pPr>
            <w:r>
              <w:rPr>
                <w:sz w:val="19"/>
                <w:szCs w:val="19"/>
              </w:rPr>
              <w:t xml:space="preserve">In addition, as stated in the official reporting instructions for </w:t>
            </w:r>
            <w:r w:rsidR="00023527">
              <w:rPr>
                <w:sz w:val="19"/>
                <w:szCs w:val="19"/>
              </w:rPr>
              <w:t>WIA individual records, “states and grantees have the option of establishing their own definition, which must include [this] language.  In cases where states or grantees establish such a definition, that definition will be used for basic literacy skills determination.</w:t>
            </w:r>
            <w:r w:rsidR="002F6DE6">
              <w:rPr>
                <w:sz w:val="19"/>
                <w:szCs w:val="19"/>
              </w:rPr>
              <w:t>”</w:t>
            </w:r>
            <w:r w:rsidR="00023527">
              <w:rPr>
                <w:sz w:val="19"/>
                <w:szCs w:val="19"/>
              </w:rPr>
              <w:t xml:space="preserve"> </w:t>
            </w:r>
            <w:r w:rsidR="002F6DE6">
              <w:rPr>
                <w:rFonts w:ascii="Arial" w:hAnsi="Arial" w:cs="Arial"/>
                <w:sz w:val="14"/>
                <w:szCs w:val="14"/>
              </w:rPr>
              <w:t xml:space="preserve"> </w:t>
            </w:r>
          </w:p>
          <w:p w:rsidR="00F04709" w:rsidRDefault="00F04709">
            <w:pPr>
              <w:autoSpaceDE w:val="0"/>
              <w:autoSpaceDN w:val="0"/>
              <w:adjustRightInd w:val="0"/>
              <w:rPr>
                <w:rFonts w:ascii="Arial" w:hAnsi="Arial" w:cs="Arial"/>
                <w:sz w:val="14"/>
                <w:szCs w:val="14"/>
              </w:rPr>
            </w:pPr>
          </w:p>
          <w:p w:rsidR="005960F7" w:rsidRDefault="00276784">
            <w:pPr>
              <w:autoSpaceDE w:val="0"/>
              <w:autoSpaceDN w:val="0"/>
              <w:adjustRightInd w:val="0"/>
              <w:rPr>
                <w:sz w:val="19"/>
                <w:szCs w:val="19"/>
              </w:rPr>
            </w:pPr>
            <w:r w:rsidRPr="00F63C4B">
              <w:rPr>
                <w:sz w:val="19"/>
                <w:szCs w:val="19"/>
              </w:rPr>
              <w:t>The determination</w:t>
            </w:r>
            <w:r w:rsidR="00023527">
              <w:rPr>
                <w:sz w:val="19"/>
                <w:szCs w:val="19"/>
              </w:rPr>
              <w:t xml:space="preserve"> of “Basic Skills Deficient” is</w:t>
            </w:r>
            <w:r w:rsidRPr="00F63C4B">
              <w:rPr>
                <w:sz w:val="19"/>
                <w:szCs w:val="19"/>
              </w:rPr>
              <w:t xml:space="preserve"> made at the point of participation</w:t>
            </w:r>
            <w:r w:rsidR="002A63F6" w:rsidRPr="00F63C4B">
              <w:rPr>
                <w:sz w:val="19"/>
                <w:szCs w:val="19"/>
              </w:rPr>
              <w:t xml:space="preserve"> and generally </w:t>
            </w:r>
            <w:r w:rsidRPr="00F63C4B">
              <w:rPr>
                <w:sz w:val="19"/>
                <w:szCs w:val="19"/>
              </w:rPr>
              <w:t>do</w:t>
            </w:r>
            <w:r w:rsidR="00023527">
              <w:rPr>
                <w:sz w:val="19"/>
                <w:szCs w:val="19"/>
              </w:rPr>
              <w:t>es</w:t>
            </w:r>
            <w:r w:rsidRPr="00F63C4B">
              <w:rPr>
                <w:sz w:val="19"/>
                <w:szCs w:val="19"/>
              </w:rPr>
              <w:t xml:space="preserve"> not change</w:t>
            </w:r>
            <w:r w:rsidR="00C8747D" w:rsidRPr="00F63C4B">
              <w:rPr>
                <w:sz w:val="19"/>
                <w:szCs w:val="19"/>
              </w:rPr>
              <w:t>.</w:t>
            </w:r>
          </w:p>
          <w:p w:rsidR="00276784" w:rsidRDefault="00276784" w:rsidP="00276784">
            <w:pPr>
              <w:rPr>
                <w:sz w:val="18"/>
                <w:szCs w:val="18"/>
              </w:rPr>
            </w:pPr>
          </w:p>
          <w:p w:rsidR="00276784" w:rsidRDefault="00276784" w:rsidP="00276784">
            <w:pPr>
              <w:rPr>
                <w:rFonts w:ascii="Arial Narrow" w:hAnsi="Arial Narrow"/>
                <w:b/>
                <w:color w:val="943634" w:themeColor="accent2" w:themeShade="BF"/>
              </w:rPr>
            </w:pPr>
            <w:r w:rsidRPr="007C14FB">
              <w:rPr>
                <w:rFonts w:ascii="Arial Narrow" w:hAnsi="Arial Narrow"/>
                <w:b/>
                <w:color w:val="943634" w:themeColor="accent2" w:themeShade="BF"/>
              </w:rPr>
              <w:t>Wh</w:t>
            </w:r>
            <w:r>
              <w:rPr>
                <w:rFonts w:ascii="Arial Narrow" w:hAnsi="Arial Narrow"/>
                <w:b/>
                <w:color w:val="943634" w:themeColor="accent2" w:themeShade="BF"/>
              </w:rPr>
              <w:t xml:space="preserve">at’s a </w:t>
            </w:r>
            <w:r w:rsidR="00F63C4B">
              <w:rPr>
                <w:rFonts w:ascii="Arial Narrow" w:hAnsi="Arial Narrow"/>
                <w:b/>
                <w:color w:val="943634" w:themeColor="accent2" w:themeShade="BF"/>
              </w:rPr>
              <w:t>Positive Outcome</w:t>
            </w:r>
            <w:r w:rsidRPr="007C14FB">
              <w:rPr>
                <w:rFonts w:ascii="Arial Narrow" w:hAnsi="Arial Narrow"/>
                <w:b/>
                <w:color w:val="943634" w:themeColor="accent2" w:themeShade="BF"/>
              </w:rPr>
              <w:t>?</w:t>
            </w:r>
            <w:r>
              <w:rPr>
                <w:rFonts w:ascii="Arial Narrow" w:hAnsi="Arial Narrow"/>
                <w:b/>
                <w:color w:val="943634" w:themeColor="accent2" w:themeShade="BF"/>
              </w:rPr>
              <w:t xml:space="preserve">  </w:t>
            </w:r>
          </w:p>
          <w:p w:rsidR="004E796A" w:rsidRDefault="000C19C2" w:rsidP="00F04709">
            <w:r>
              <w:rPr>
                <w:sz w:val="19"/>
                <w:szCs w:val="19"/>
              </w:rPr>
              <w:t>Thi</w:t>
            </w:r>
            <w:r w:rsidR="00276784" w:rsidRPr="00F63C4B">
              <w:rPr>
                <w:sz w:val="19"/>
                <w:szCs w:val="19"/>
              </w:rPr>
              <w:t>s is another way of asking who’s in the numerator</w:t>
            </w:r>
            <w:r w:rsidR="00921E91" w:rsidRPr="00F63C4B">
              <w:rPr>
                <w:sz w:val="19"/>
                <w:szCs w:val="19"/>
              </w:rPr>
              <w:t>.</w:t>
            </w:r>
            <w:r w:rsidR="00276784" w:rsidRPr="00F63C4B">
              <w:rPr>
                <w:sz w:val="19"/>
                <w:szCs w:val="19"/>
              </w:rPr>
              <w:t xml:space="preserve"> </w:t>
            </w:r>
            <w:r w:rsidR="00921E91" w:rsidRPr="00F63C4B">
              <w:rPr>
                <w:sz w:val="19"/>
                <w:szCs w:val="19"/>
              </w:rPr>
              <w:t>Y</w:t>
            </w:r>
            <w:r w:rsidR="00276784" w:rsidRPr="00F63C4B">
              <w:rPr>
                <w:sz w:val="19"/>
                <w:szCs w:val="19"/>
              </w:rPr>
              <w:t>outh who demonstrate on a post-test that they advanced one or more EFLs beyond the level at which they first tested</w:t>
            </w:r>
            <w:r w:rsidR="00921E91" w:rsidRPr="00F63C4B">
              <w:rPr>
                <w:sz w:val="19"/>
                <w:szCs w:val="19"/>
              </w:rPr>
              <w:t xml:space="preserve"> in either reading/</w:t>
            </w:r>
            <w:r w:rsidR="000A07C4">
              <w:rPr>
                <w:sz w:val="19"/>
                <w:szCs w:val="19"/>
              </w:rPr>
              <w:t xml:space="preserve"> </w:t>
            </w:r>
            <w:r w:rsidR="00921E91" w:rsidRPr="00F63C4B">
              <w:rPr>
                <w:sz w:val="19"/>
                <w:szCs w:val="19"/>
              </w:rPr>
              <w:t xml:space="preserve">writing or math </w:t>
            </w:r>
            <w:r w:rsidR="00F63C4B" w:rsidRPr="00F63C4B">
              <w:rPr>
                <w:sz w:val="19"/>
                <w:szCs w:val="19"/>
              </w:rPr>
              <w:t>would be considered a positive outcome</w:t>
            </w:r>
            <w:r w:rsidR="00276784" w:rsidRPr="00E30983">
              <w:rPr>
                <w:sz w:val="20"/>
                <w:szCs w:val="20"/>
              </w:rPr>
              <w:t>.</w:t>
            </w:r>
            <w:r w:rsidR="00023527">
              <w:rPr>
                <w:sz w:val="20"/>
                <w:szCs w:val="20"/>
              </w:rPr>
              <w:t xml:space="preserve">  </w:t>
            </w:r>
            <w:r w:rsidR="002F6DE6">
              <w:rPr>
                <w:sz w:val="20"/>
                <w:szCs w:val="20"/>
              </w:rPr>
              <w:t xml:space="preserve">A gain in </w:t>
            </w:r>
            <w:r w:rsidR="002F6DE6">
              <w:rPr>
                <w:i/>
                <w:sz w:val="20"/>
                <w:szCs w:val="20"/>
              </w:rPr>
              <w:t xml:space="preserve">any </w:t>
            </w:r>
            <w:r w:rsidR="002F6DE6">
              <w:rPr>
                <w:sz w:val="20"/>
                <w:szCs w:val="20"/>
              </w:rPr>
              <w:t xml:space="preserve">area is a positive outcome.  </w:t>
            </w:r>
          </w:p>
        </w:tc>
      </w:tr>
      <w:tr w:rsidR="00276784" w:rsidTr="00281034">
        <w:tc>
          <w:tcPr>
            <w:tcW w:w="5058" w:type="dxa"/>
          </w:tcPr>
          <w:p w:rsidR="005960F7" w:rsidRDefault="005960F7" w:rsidP="00276784">
            <w:pPr>
              <w:rPr>
                <w:rFonts w:ascii="Arial Narrow" w:hAnsi="Arial Narrow"/>
                <w:b/>
                <w:color w:val="943634" w:themeColor="accent2" w:themeShade="BF"/>
              </w:rPr>
            </w:pPr>
          </w:p>
          <w:p w:rsidR="005960F7" w:rsidRDefault="005960F7" w:rsidP="00276784">
            <w:pPr>
              <w:rPr>
                <w:rFonts w:ascii="Arial Narrow" w:hAnsi="Arial Narrow"/>
                <w:b/>
                <w:color w:val="943634" w:themeColor="accent2" w:themeShade="BF"/>
              </w:rPr>
            </w:pPr>
          </w:p>
          <w:p w:rsidR="00276784" w:rsidRDefault="00276784" w:rsidP="00276784">
            <w:pPr>
              <w:rPr>
                <w:rFonts w:ascii="Arial Narrow" w:hAnsi="Arial Narrow"/>
                <w:b/>
                <w:color w:val="943634" w:themeColor="accent2" w:themeShade="BF"/>
              </w:rPr>
            </w:pPr>
            <w:r>
              <w:rPr>
                <w:rFonts w:ascii="Arial Narrow" w:hAnsi="Arial Narrow"/>
                <w:b/>
                <w:color w:val="943634" w:themeColor="accent2" w:themeShade="BF"/>
              </w:rPr>
              <w:t xml:space="preserve">Basic Facts:  </w:t>
            </w:r>
          </w:p>
          <w:p w:rsidR="000A5DB5" w:rsidRPr="00F63C4B" w:rsidRDefault="002F6DE6" w:rsidP="000A5DB5">
            <w:pPr>
              <w:pStyle w:val="ListParagraph"/>
              <w:numPr>
                <w:ilvl w:val="0"/>
                <w:numId w:val="15"/>
              </w:numPr>
              <w:rPr>
                <w:sz w:val="19"/>
                <w:szCs w:val="19"/>
              </w:rPr>
            </w:pPr>
            <w:r>
              <w:rPr>
                <w:sz w:val="19"/>
                <w:szCs w:val="19"/>
              </w:rPr>
              <w:t>DOL policy requires that a</w:t>
            </w:r>
            <w:r w:rsidR="000A5DB5" w:rsidRPr="00F63C4B">
              <w:rPr>
                <w:sz w:val="19"/>
                <w:szCs w:val="19"/>
              </w:rPr>
              <w:t>ll out-of-school youth be assessed in basic reading/writing and math to determine their initial EFL.</w:t>
            </w:r>
          </w:p>
          <w:p w:rsidR="001052CE" w:rsidRDefault="003C6ADA" w:rsidP="000A5DB5">
            <w:pPr>
              <w:pStyle w:val="ListParagraph"/>
              <w:numPr>
                <w:ilvl w:val="0"/>
                <w:numId w:val="15"/>
              </w:numPr>
              <w:rPr>
                <w:sz w:val="19"/>
                <w:szCs w:val="19"/>
              </w:rPr>
            </w:pPr>
            <w:r w:rsidRPr="00F63C4B">
              <w:rPr>
                <w:sz w:val="19"/>
                <w:szCs w:val="19"/>
              </w:rPr>
              <w:t xml:space="preserve">Youth need an increase in reading/writing </w:t>
            </w:r>
            <w:r w:rsidRPr="00F63C4B">
              <w:rPr>
                <w:sz w:val="19"/>
                <w:szCs w:val="19"/>
                <w:u w:val="single"/>
              </w:rPr>
              <w:t>or</w:t>
            </w:r>
            <w:r w:rsidRPr="00F63C4B">
              <w:rPr>
                <w:sz w:val="19"/>
                <w:szCs w:val="19"/>
              </w:rPr>
              <w:t xml:space="preserve"> math to count as a </w:t>
            </w:r>
            <w:r w:rsidR="00F63C4B" w:rsidRPr="00F63C4B">
              <w:rPr>
                <w:sz w:val="19"/>
                <w:szCs w:val="19"/>
              </w:rPr>
              <w:t xml:space="preserve">positive outcome for this </w:t>
            </w:r>
            <w:r w:rsidRPr="00F63C4B">
              <w:rPr>
                <w:sz w:val="19"/>
                <w:szCs w:val="19"/>
              </w:rPr>
              <w:t>measure.</w:t>
            </w:r>
          </w:p>
          <w:p w:rsidR="002618BF" w:rsidRPr="00F63C4B" w:rsidRDefault="002618BF" w:rsidP="000A5DB5">
            <w:pPr>
              <w:pStyle w:val="ListParagraph"/>
              <w:numPr>
                <w:ilvl w:val="0"/>
                <w:numId w:val="15"/>
              </w:numPr>
              <w:rPr>
                <w:sz w:val="19"/>
                <w:szCs w:val="19"/>
              </w:rPr>
            </w:pPr>
            <w:r w:rsidRPr="002618BF">
              <w:rPr>
                <w:sz w:val="18"/>
                <w:szCs w:val="18"/>
              </w:rPr>
              <w:t xml:space="preserve">If </w:t>
            </w:r>
            <w:r>
              <w:rPr>
                <w:sz w:val="18"/>
                <w:szCs w:val="18"/>
              </w:rPr>
              <w:t>a</w:t>
            </w:r>
            <w:r w:rsidR="00F04709">
              <w:rPr>
                <w:sz w:val="18"/>
                <w:szCs w:val="18"/>
              </w:rPr>
              <w:t>n out-of-school</w:t>
            </w:r>
            <w:r w:rsidRPr="002618BF">
              <w:rPr>
                <w:sz w:val="18"/>
                <w:szCs w:val="18"/>
              </w:rPr>
              <w:t xml:space="preserve"> youth is </w:t>
            </w:r>
            <w:r w:rsidR="00F04709">
              <w:rPr>
                <w:sz w:val="18"/>
                <w:szCs w:val="18"/>
              </w:rPr>
              <w:t xml:space="preserve">recorded as </w:t>
            </w:r>
            <w:r w:rsidRPr="002618BF">
              <w:rPr>
                <w:sz w:val="18"/>
                <w:szCs w:val="18"/>
              </w:rPr>
              <w:t xml:space="preserve">basic skills deficient without pre-test results recorded, the youth will count as a negative outcome for the measure; </w:t>
            </w:r>
            <w:r w:rsidRPr="002618BF">
              <w:rPr>
                <w:i/>
                <w:sz w:val="18"/>
                <w:szCs w:val="18"/>
              </w:rPr>
              <w:t>Record all test results!</w:t>
            </w:r>
          </w:p>
          <w:p w:rsidR="000A5DB5" w:rsidRPr="00F63C4B" w:rsidRDefault="000A5DB5" w:rsidP="000A5DB5">
            <w:pPr>
              <w:pStyle w:val="ListParagraph"/>
              <w:numPr>
                <w:ilvl w:val="0"/>
                <w:numId w:val="15"/>
              </w:numPr>
              <w:rPr>
                <w:sz w:val="19"/>
                <w:szCs w:val="19"/>
              </w:rPr>
            </w:pPr>
            <w:r w:rsidRPr="00F63C4B">
              <w:rPr>
                <w:sz w:val="19"/>
                <w:szCs w:val="19"/>
              </w:rPr>
              <w:t>There are two assessment categories.  Each consists of progressive EFLs:</w:t>
            </w:r>
          </w:p>
          <w:p w:rsidR="000A5DB5" w:rsidRPr="00F63C4B" w:rsidRDefault="000A5DB5" w:rsidP="000A5DB5">
            <w:pPr>
              <w:ind w:left="720"/>
              <w:rPr>
                <w:sz w:val="19"/>
                <w:szCs w:val="19"/>
              </w:rPr>
            </w:pPr>
            <w:r w:rsidRPr="00F63C4B">
              <w:rPr>
                <w:sz w:val="19"/>
                <w:szCs w:val="19"/>
              </w:rPr>
              <w:t>1.   Adult Basic Education (ABE)</w:t>
            </w:r>
          </w:p>
          <w:p w:rsidR="0078232C" w:rsidRPr="0078232C" w:rsidRDefault="0078232C" w:rsidP="0078232C">
            <w:pPr>
              <w:pStyle w:val="ListParagraph"/>
              <w:ind w:left="360"/>
              <w:rPr>
                <w:sz w:val="18"/>
                <w:szCs w:val="18"/>
              </w:rPr>
            </w:pPr>
            <w:r>
              <w:rPr>
                <w:sz w:val="19"/>
                <w:szCs w:val="19"/>
              </w:rPr>
              <w:t xml:space="preserve">         </w:t>
            </w:r>
            <w:r w:rsidR="000A5DB5" w:rsidRPr="00F63C4B">
              <w:rPr>
                <w:sz w:val="19"/>
                <w:szCs w:val="19"/>
              </w:rPr>
              <w:t>2.   English as a Second Language (ESL)</w:t>
            </w:r>
          </w:p>
          <w:p w:rsidR="00313C8F" w:rsidRPr="003C6ADA" w:rsidRDefault="00313C8F" w:rsidP="00C01C05">
            <w:pPr>
              <w:pStyle w:val="ListParagraph"/>
              <w:numPr>
                <w:ilvl w:val="0"/>
                <w:numId w:val="11"/>
              </w:numPr>
              <w:rPr>
                <w:sz w:val="18"/>
                <w:szCs w:val="18"/>
              </w:rPr>
            </w:pPr>
            <w:r w:rsidRPr="00F63C4B">
              <w:rPr>
                <w:sz w:val="19"/>
                <w:szCs w:val="19"/>
              </w:rPr>
              <w:t xml:space="preserve">Only </w:t>
            </w:r>
            <w:r w:rsidR="000A5DB5" w:rsidRPr="00F63C4B">
              <w:rPr>
                <w:sz w:val="19"/>
                <w:szCs w:val="19"/>
              </w:rPr>
              <w:t>assessment instruments</w:t>
            </w:r>
            <w:r w:rsidRPr="00F63C4B">
              <w:rPr>
                <w:sz w:val="19"/>
                <w:szCs w:val="19"/>
              </w:rPr>
              <w:t xml:space="preserve"> approved by the </w:t>
            </w:r>
            <w:r w:rsidR="003C6ADA" w:rsidRPr="00F63C4B">
              <w:rPr>
                <w:sz w:val="19"/>
                <w:szCs w:val="19"/>
              </w:rPr>
              <w:t xml:space="preserve">U.S. Department of Education (ED) </w:t>
            </w:r>
            <w:r w:rsidRPr="00F63C4B">
              <w:rPr>
                <w:sz w:val="19"/>
                <w:szCs w:val="19"/>
              </w:rPr>
              <w:t>can be utilized.</w:t>
            </w:r>
            <w:r w:rsidR="009A77EE" w:rsidRPr="00F63C4B">
              <w:rPr>
                <w:sz w:val="19"/>
                <w:szCs w:val="19"/>
              </w:rPr>
              <w:t xml:space="preserve">  Approved tests yield scores that can be cross-walked to EFLs.</w:t>
            </w:r>
            <w:r w:rsidR="002A63F6" w:rsidRPr="00F63C4B">
              <w:rPr>
                <w:sz w:val="19"/>
                <w:szCs w:val="19"/>
              </w:rPr>
              <w:t xml:space="preserve"> </w:t>
            </w:r>
            <w:r w:rsidR="003C6ADA" w:rsidRPr="00F63C4B">
              <w:rPr>
                <w:sz w:val="19"/>
                <w:szCs w:val="19"/>
              </w:rPr>
              <w:t xml:space="preserve">For a current list of approved tests, see ED’s announcement published annually in the Federal Register at </w:t>
            </w:r>
            <w:hyperlink r:id="rId10" w:history="1">
              <w:r w:rsidR="003C6ADA" w:rsidRPr="00F63C4B">
                <w:rPr>
                  <w:rStyle w:val="Hyperlink"/>
                  <w:sz w:val="18"/>
                  <w:szCs w:val="18"/>
                </w:rPr>
                <w:t>https://www.federalregister.gov/</w:t>
              </w:r>
            </w:hyperlink>
            <w:r w:rsidR="003C6ADA" w:rsidRPr="00F63C4B">
              <w:rPr>
                <w:sz w:val="19"/>
                <w:szCs w:val="19"/>
              </w:rPr>
              <w:t>. For a current EFL table, refer to ED’s National Reporting System (NRS) Implementation Guidelines at</w:t>
            </w:r>
            <w:r w:rsidR="003C6ADA">
              <w:rPr>
                <w:sz w:val="20"/>
                <w:szCs w:val="20"/>
              </w:rPr>
              <w:t xml:space="preserve"> </w:t>
            </w:r>
            <w:hyperlink r:id="rId11" w:history="1">
              <w:r w:rsidR="003C6ADA" w:rsidRPr="003C6ADA">
                <w:rPr>
                  <w:rStyle w:val="Hyperlink"/>
                  <w:sz w:val="18"/>
                  <w:szCs w:val="18"/>
                </w:rPr>
                <w:t>http://www.nrsweb.org/</w:t>
              </w:r>
            </w:hyperlink>
            <w:r w:rsidR="003C6ADA" w:rsidRPr="003C6ADA">
              <w:rPr>
                <w:sz w:val="18"/>
                <w:szCs w:val="18"/>
              </w:rPr>
              <w:t xml:space="preserve">. </w:t>
            </w:r>
          </w:p>
          <w:p w:rsidR="000A5DB5" w:rsidRPr="00F63C4B" w:rsidRDefault="003C6ADA" w:rsidP="00062AFA">
            <w:pPr>
              <w:pStyle w:val="ListParagraph"/>
              <w:numPr>
                <w:ilvl w:val="0"/>
                <w:numId w:val="11"/>
              </w:numPr>
              <w:spacing w:after="60"/>
              <w:rPr>
                <w:sz w:val="19"/>
                <w:szCs w:val="19"/>
              </w:rPr>
            </w:pPr>
            <w:r w:rsidRPr="00F63C4B">
              <w:rPr>
                <w:sz w:val="19"/>
                <w:szCs w:val="19"/>
              </w:rPr>
              <w:t>ED</w:t>
            </w:r>
            <w:r w:rsidR="007B25E1" w:rsidRPr="00F63C4B">
              <w:rPr>
                <w:sz w:val="19"/>
                <w:szCs w:val="19"/>
              </w:rPr>
              <w:t xml:space="preserve"> periodically updates the NRS</w:t>
            </w:r>
            <w:r w:rsidR="00A013ED" w:rsidRPr="00F63C4B">
              <w:rPr>
                <w:sz w:val="19"/>
                <w:szCs w:val="19"/>
              </w:rPr>
              <w:t xml:space="preserve"> </w:t>
            </w:r>
            <w:r w:rsidR="007B25E1" w:rsidRPr="00F63C4B">
              <w:rPr>
                <w:sz w:val="19"/>
                <w:szCs w:val="19"/>
              </w:rPr>
              <w:t xml:space="preserve">Guidelines and list of approved tests; </w:t>
            </w:r>
            <w:r w:rsidR="000C19C2">
              <w:rPr>
                <w:sz w:val="19"/>
                <w:szCs w:val="19"/>
              </w:rPr>
              <w:t>checking for updates regularly is advised.</w:t>
            </w:r>
          </w:p>
          <w:p w:rsidR="005B19D9" w:rsidRDefault="00C83160" w:rsidP="00D07B5B">
            <w:pPr>
              <w:pStyle w:val="ListParagraph"/>
              <w:ind w:left="360"/>
            </w:pPr>
            <w:r w:rsidRPr="00C83160">
              <w:rPr>
                <w:rFonts w:ascii="Arial Narrow" w:hAnsi="Arial Narrow"/>
                <w:b/>
                <w:smallCaps/>
                <w:shadow/>
                <w:noProof/>
                <w:color w:val="800000"/>
                <w:sz w:val="32"/>
                <w:szCs w:val="32"/>
              </w:rPr>
              <w:pict>
                <v:shape id="_x0000_s1041" type="#_x0000_t202" style="position:absolute;left:0;text-align:left;margin-left:-4.2pt;margin-top:11.4pt;width:531.75pt;height:28.1pt;z-index:251678720;mso-position-horizontal-relative:text;mso-position-vertical-relative:text;mso-width-relative:margin;mso-height-relative:margin" fillcolor="#943634 [2405]" strokecolor="#943634 [2405]" strokeweight="2.25pt">
                  <v:textbox style="mso-next-textbox:#_x0000_s1041">
                    <w:txbxContent>
                      <w:p w:rsidR="00283480" w:rsidRPr="006D3163" w:rsidRDefault="00283480" w:rsidP="00C52E98">
                        <w:pPr>
                          <w:rPr>
                            <w:rFonts w:ascii="Arial Narrow" w:hAnsi="Arial Narrow"/>
                            <w:b/>
                            <w:i/>
                            <w:smallCaps/>
                            <w:shadow/>
                            <w:color w:val="F2DBDB" w:themeColor="accent2" w:themeTint="33"/>
                            <w:sz w:val="36"/>
                            <w:szCs w:val="36"/>
                          </w:rPr>
                        </w:pPr>
                        <w:r>
                          <w:rPr>
                            <w:rFonts w:ascii="Arial Narrow" w:hAnsi="Arial Narrow"/>
                            <w:b/>
                            <w:i/>
                            <w:caps/>
                            <w:shadow/>
                            <w:color w:val="F2DBDB" w:themeColor="accent2" w:themeTint="33"/>
                            <w:sz w:val="36"/>
                            <w:szCs w:val="36"/>
                          </w:rPr>
                          <w:t xml:space="preserve">3. </w:t>
                        </w:r>
                        <w:r w:rsidRPr="006D3163">
                          <w:rPr>
                            <w:rFonts w:ascii="Arial Narrow" w:hAnsi="Arial Narrow"/>
                            <w:b/>
                            <w:i/>
                            <w:caps/>
                            <w:shadow/>
                            <w:color w:val="F2DBDB" w:themeColor="accent2" w:themeTint="33"/>
                            <w:sz w:val="36"/>
                            <w:szCs w:val="36"/>
                          </w:rPr>
                          <w:t>A</w:t>
                        </w:r>
                        <w:r w:rsidRPr="006D3163">
                          <w:rPr>
                            <w:rFonts w:ascii="Arial Narrow" w:hAnsi="Arial Narrow"/>
                            <w:b/>
                            <w:i/>
                            <w:smallCaps/>
                            <w:shadow/>
                            <w:color w:val="F2DBDB" w:themeColor="accent2" w:themeTint="33"/>
                            <w:sz w:val="36"/>
                            <w:szCs w:val="36"/>
                          </w:rPr>
                          <w:t xml:space="preserve">bout </w:t>
                        </w:r>
                        <w:r>
                          <w:rPr>
                            <w:rFonts w:ascii="Arial Narrow" w:hAnsi="Arial Narrow"/>
                            <w:b/>
                            <w:i/>
                            <w:smallCaps/>
                            <w:shadow/>
                            <w:color w:val="F2DBDB" w:themeColor="accent2" w:themeTint="33"/>
                            <w:sz w:val="36"/>
                            <w:szCs w:val="36"/>
                          </w:rPr>
                          <w:t>Educational Functioning Levels (EFLs)</w:t>
                        </w:r>
                      </w:p>
                    </w:txbxContent>
                  </v:textbox>
                </v:shape>
              </w:pict>
            </w:r>
          </w:p>
        </w:tc>
        <w:tc>
          <w:tcPr>
            <w:tcW w:w="270" w:type="dxa"/>
          </w:tcPr>
          <w:p w:rsidR="00276784" w:rsidRDefault="00276784" w:rsidP="00276784"/>
          <w:p w:rsidR="005B19D9" w:rsidRDefault="005B19D9" w:rsidP="00276784"/>
          <w:p w:rsidR="005B19D9" w:rsidRDefault="005B19D9" w:rsidP="00276784"/>
          <w:p w:rsidR="00570D10" w:rsidRDefault="00570D10" w:rsidP="00276784"/>
          <w:p w:rsidR="009A77EE" w:rsidRDefault="009A77EE" w:rsidP="00276784"/>
          <w:p w:rsidR="009A77EE" w:rsidRDefault="009A77EE" w:rsidP="00276784"/>
          <w:p w:rsidR="009A77EE" w:rsidRDefault="009A77EE" w:rsidP="00276784"/>
          <w:p w:rsidR="00570D10" w:rsidRDefault="00570D10" w:rsidP="00276784"/>
          <w:p w:rsidR="00276784" w:rsidRDefault="00276784" w:rsidP="00276784"/>
        </w:tc>
        <w:tc>
          <w:tcPr>
            <w:tcW w:w="5400" w:type="dxa"/>
          </w:tcPr>
          <w:p w:rsidR="005960F7" w:rsidRDefault="005960F7">
            <w:pPr>
              <w:pStyle w:val="ListParagraph"/>
              <w:ind w:left="360"/>
              <w:rPr>
                <w:sz w:val="19"/>
                <w:szCs w:val="19"/>
              </w:rPr>
            </w:pPr>
          </w:p>
          <w:p w:rsidR="005960F7" w:rsidRDefault="005960F7" w:rsidP="005960F7">
            <w:pPr>
              <w:pStyle w:val="ListParagraph"/>
              <w:ind w:left="360"/>
              <w:rPr>
                <w:sz w:val="19"/>
                <w:szCs w:val="19"/>
              </w:rPr>
            </w:pPr>
          </w:p>
          <w:p w:rsidR="002F6DE6" w:rsidRDefault="002F6DE6" w:rsidP="002F6DE6">
            <w:pPr>
              <w:pStyle w:val="ListParagraph"/>
              <w:ind w:left="360"/>
              <w:rPr>
                <w:sz w:val="19"/>
                <w:szCs w:val="19"/>
              </w:rPr>
            </w:pPr>
          </w:p>
          <w:p w:rsidR="00D07B5B" w:rsidRPr="00F63C4B" w:rsidRDefault="00D07B5B" w:rsidP="002618BF">
            <w:pPr>
              <w:pStyle w:val="ListParagraph"/>
              <w:numPr>
                <w:ilvl w:val="0"/>
                <w:numId w:val="11"/>
              </w:numPr>
              <w:spacing w:before="240"/>
              <w:rPr>
                <w:sz w:val="19"/>
                <w:szCs w:val="19"/>
              </w:rPr>
            </w:pPr>
            <w:r w:rsidRPr="00F63C4B">
              <w:rPr>
                <w:sz w:val="19"/>
                <w:szCs w:val="19"/>
              </w:rPr>
              <w:t>Service providers may use different approved assessments across programs, but must</w:t>
            </w:r>
            <w:r w:rsidRPr="00F63C4B">
              <w:rPr>
                <w:i/>
                <w:sz w:val="19"/>
                <w:szCs w:val="19"/>
              </w:rPr>
              <w:t xml:space="preserve"> </w:t>
            </w:r>
            <w:r w:rsidRPr="00F63C4B">
              <w:rPr>
                <w:sz w:val="19"/>
                <w:szCs w:val="19"/>
              </w:rPr>
              <w:t>use the same instrument to pre- and post- test the same youth.</w:t>
            </w:r>
          </w:p>
          <w:p w:rsidR="002A63F6" w:rsidRPr="00F63C4B" w:rsidRDefault="002A63F6" w:rsidP="002A63F6">
            <w:pPr>
              <w:pStyle w:val="ListParagraph"/>
              <w:numPr>
                <w:ilvl w:val="0"/>
                <w:numId w:val="11"/>
              </w:numPr>
              <w:rPr>
                <w:sz w:val="19"/>
                <w:szCs w:val="19"/>
              </w:rPr>
            </w:pPr>
            <w:r w:rsidRPr="00F63C4B">
              <w:rPr>
                <w:sz w:val="19"/>
                <w:szCs w:val="19"/>
              </w:rPr>
              <w:t xml:space="preserve">A previous assessment can be utilized if it’s an approved instrument </w:t>
            </w:r>
            <w:r w:rsidR="003C6ADA" w:rsidRPr="00F63C4B">
              <w:rPr>
                <w:sz w:val="19"/>
                <w:szCs w:val="19"/>
              </w:rPr>
              <w:t xml:space="preserve">in the NRS </w:t>
            </w:r>
            <w:r w:rsidRPr="00F63C4B">
              <w:rPr>
                <w:sz w:val="19"/>
                <w:szCs w:val="19"/>
              </w:rPr>
              <w:t xml:space="preserve">and conducted within 6 months </w:t>
            </w:r>
            <w:r w:rsidR="00F63C4B">
              <w:rPr>
                <w:sz w:val="19"/>
                <w:szCs w:val="19"/>
              </w:rPr>
              <w:t xml:space="preserve">of FYS (or </w:t>
            </w:r>
            <w:r w:rsidRPr="00F63C4B">
              <w:rPr>
                <w:sz w:val="19"/>
                <w:szCs w:val="19"/>
              </w:rPr>
              <w:t>youth program participation</w:t>
            </w:r>
            <w:r w:rsidR="00F63C4B">
              <w:rPr>
                <w:sz w:val="19"/>
                <w:szCs w:val="19"/>
              </w:rPr>
              <w:t>)</w:t>
            </w:r>
            <w:r w:rsidRPr="00F63C4B">
              <w:rPr>
                <w:sz w:val="19"/>
                <w:szCs w:val="19"/>
              </w:rPr>
              <w:t>.</w:t>
            </w:r>
          </w:p>
          <w:p w:rsidR="002A63F6" w:rsidRPr="00F63C4B" w:rsidRDefault="002A63F6" w:rsidP="002A63F6">
            <w:pPr>
              <w:pStyle w:val="ListParagraph"/>
              <w:numPr>
                <w:ilvl w:val="0"/>
                <w:numId w:val="11"/>
              </w:numPr>
              <w:rPr>
                <w:sz w:val="19"/>
                <w:szCs w:val="19"/>
              </w:rPr>
            </w:pPr>
            <w:r w:rsidRPr="00F63C4B">
              <w:rPr>
                <w:sz w:val="19"/>
                <w:szCs w:val="19"/>
              </w:rPr>
              <w:t xml:space="preserve">If no previous assessment, </w:t>
            </w:r>
            <w:r w:rsidR="00023527">
              <w:rPr>
                <w:sz w:val="19"/>
                <w:szCs w:val="19"/>
              </w:rPr>
              <w:t xml:space="preserve">it is recommended that </w:t>
            </w:r>
            <w:r w:rsidRPr="00F63C4B">
              <w:rPr>
                <w:sz w:val="19"/>
                <w:szCs w:val="19"/>
              </w:rPr>
              <w:t xml:space="preserve">a pre-test </w:t>
            </w:r>
            <w:r w:rsidR="00023527">
              <w:rPr>
                <w:sz w:val="19"/>
                <w:szCs w:val="19"/>
              </w:rPr>
              <w:t xml:space="preserve">be given </w:t>
            </w:r>
            <w:r w:rsidRPr="00F63C4B">
              <w:rPr>
                <w:sz w:val="19"/>
                <w:szCs w:val="19"/>
              </w:rPr>
              <w:t xml:space="preserve">within 60 days of </w:t>
            </w:r>
            <w:r w:rsidR="00F63C4B">
              <w:rPr>
                <w:sz w:val="19"/>
                <w:szCs w:val="19"/>
              </w:rPr>
              <w:t>FYS</w:t>
            </w:r>
            <w:r w:rsidR="00023527">
              <w:rPr>
                <w:sz w:val="19"/>
                <w:szCs w:val="19"/>
              </w:rPr>
              <w:t xml:space="preserve"> to maximize the time available to achieve a positive outcome</w:t>
            </w:r>
            <w:r w:rsidR="005960F7">
              <w:rPr>
                <w:sz w:val="19"/>
                <w:szCs w:val="19"/>
              </w:rPr>
              <w:t>.  However,</w:t>
            </w:r>
            <w:r w:rsidR="00023527">
              <w:rPr>
                <w:sz w:val="19"/>
                <w:szCs w:val="19"/>
              </w:rPr>
              <w:t xml:space="preserve"> pre-tests dated after the 60-day point will still be considered valid pre-tests</w:t>
            </w:r>
            <w:r w:rsidRPr="00F63C4B">
              <w:rPr>
                <w:sz w:val="19"/>
                <w:szCs w:val="19"/>
              </w:rPr>
              <w:t>.</w:t>
            </w:r>
          </w:p>
          <w:p w:rsidR="00276784" w:rsidRPr="00F63C4B" w:rsidRDefault="002A63F6" w:rsidP="00A013ED">
            <w:pPr>
              <w:pStyle w:val="ListParagraph"/>
              <w:numPr>
                <w:ilvl w:val="0"/>
                <w:numId w:val="11"/>
              </w:numPr>
              <w:rPr>
                <w:sz w:val="19"/>
                <w:szCs w:val="19"/>
              </w:rPr>
            </w:pPr>
            <w:r w:rsidRPr="00F63C4B">
              <w:rPr>
                <w:sz w:val="19"/>
                <w:szCs w:val="19"/>
              </w:rPr>
              <w:t>For year one, a post-test must show a gain prior to the one year anniver</w:t>
            </w:r>
            <w:r w:rsidR="00F04709">
              <w:rPr>
                <w:sz w:val="19"/>
                <w:szCs w:val="19"/>
              </w:rPr>
              <w:t>sary date of first youth service in order to be a positive outcome</w:t>
            </w:r>
            <w:r w:rsidRPr="00F63C4B">
              <w:rPr>
                <w:sz w:val="19"/>
                <w:szCs w:val="19"/>
              </w:rPr>
              <w:t>; the gain is counted in the quarter and year in which the anniversary date falls</w:t>
            </w:r>
            <w:r w:rsidR="00313C8F" w:rsidRPr="00F63C4B">
              <w:rPr>
                <w:sz w:val="19"/>
                <w:szCs w:val="19"/>
              </w:rPr>
              <w:t xml:space="preserve"> (</w:t>
            </w:r>
            <w:r w:rsidR="00A013ED" w:rsidRPr="00F63C4B">
              <w:rPr>
                <w:sz w:val="19"/>
                <w:szCs w:val="19"/>
              </w:rPr>
              <w:t xml:space="preserve">i.e., reported in the </w:t>
            </w:r>
            <w:r w:rsidR="00313C8F" w:rsidRPr="00F63C4B">
              <w:rPr>
                <w:sz w:val="19"/>
                <w:szCs w:val="19"/>
              </w:rPr>
              <w:t>WIASRD) and translated</w:t>
            </w:r>
            <w:r w:rsidR="00A013ED" w:rsidRPr="00F63C4B">
              <w:rPr>
                <w:sz w:val="19"/>
                <w:szCs w:val="19"/>
              </w:rPr>
              <w:t xml:space="preserve"> </w:t>
            </w:r>
            <w:r w:rsidR="00313C8F" w:rsidRPr="00F63C4B">
              <w:rPr>
                <w:sz w:val="19"/>
                <w:szCs w:val="19"/>
              </w:rPr>
              <w:t>into an associated EFL.</w:t>
            </w:r>
          </w:p>
          <w:p w:rsidR="005B19D9" w:rsidRPr="00F63C4B" w:rsidRDefault="00C01C05" w:rsidP="005B19D9">
            <w:pPr>
              <w:pStyle w:val="ListParagraph"/>
              <w:numPr>
                <w:ilvl w:val="0"/>
                <w:numId w:val="11"/>
              </w:numPr>
              <w:rPr>
                <w:sz w:val="19"/>
                <w:szCs w:val="19"/>
              </w:rPr>
            </w:pPr>
            <w:r w:rsidRPr="00F63C4B">
              <w:rPr>
                <w:sz w:val="19"/>
                <w:szCs w:val="19"/>
              </w:rPr>
              <w:t xml:space="preserve">How program operators address </w:t>
            </w:r>
            <w:r w:rsidRPr="00F63C4B">
              <w:rPr>
                <w:i/>
                <w:sz w:val="19"/>
                <w:szCs w:val="19"/>
              </w:rPr>
              <w:t xml:space="preserve">assessments </w:t>
            </w:r>
            <w:r w:rsidRPr="00F63C4B">
              <w:rPr>
                <w:sz w:val="19"/>
                <w:szCs w:val="19"/>
              </w:rPr>
              <w:t xml:space="preserve">is a primary factor contributing to positive outcomes </w:t>
            </w:r>
            <w:r w:rsidR="005B19D9" w:rsidRPr="00F63C4B">
              <w:rPr>
                <w:sz w:val="19"/>
                <w:szCs w:val="19"/>
              </w:rPr>
              <w:t>on this measure</w:t>
            </w:r>
            <w:r w:rsidRPr="00F63C4B">
              <w:rPr>
                <w:sz w:val="19"/>
                <w:szCs w:val="19"/>
              </w:rPr>
              <w:t>.  For example</w:t>
            </w:r>
            <w:r w:rsidR="005B19D9" w:rsidRPr="00F63C4B">
              <w:rPr>
                <w:sz w:val="19"/>
                <w:szCs w:val="19"/>
              </w:rPr>
              <w:t xml:space="preserve">: </w:t>
            </w:r>
          </w:p>
          <w:p w:rsidR="005B19D9" w:rsidRPr="00D07B5B" w:rsidRDefault="005B19D9" w:rsidP="005B19D9">
            <w:pPr>
              <w:pStyle w:val="ListParagraph"/>
              <w:numPr>
                <w:ilvl w:val="1"/>
                <w:numId w:val="11"/>
              </w:numPr>
              <w:rPr>
                <w:sz w:val="18"/>
                <w:szCs w:val="18"/>
              </w:rPr>
            </w:pPr>
            <w:r w:rsidRPr="00D07B5B">
              <w:rPr>
                <w:sz w:val="18"/>
                <w:szCs w:val="18"/>
              </w:rPr>
              <w:t xml:space="preserve">Pre-test at intake or within 60 days of </w:t>
            </w:r>
            <w:r w:rsidR="00F63C4B">
              <w:rPr>
                <w:sz w:val="18"/>
                <w:szCs w:val="18"/>
              </w:rPr>
              <w:t>FYS</w:t>
            </w:r>
            <w:r w:rsidRPr="00D07B5B">
              <w:rPr>
                <w:sz w:val="18"/>
                <w:szCs w:val="18"/>
              </w:rPr>
              <w:t xml:space="preserve">; </w:t>
            </w:r>
          </w:p>
          <w:p w:rsidR="005B19D9" w:rsidRPr="00D07B5B" w:rsidRDefault="005B19D9" w:rsidP="005B19D9">
            <w:pPr>
              <w:pStyle w:val="ListParagraph"/>
              <w:numPr>
                <w:ilvl w:val="1"/>
                <w:numId w:val="11"/>
              </w:numPr>
              <w:rPr>
                <w:sz w:val="18"/>
                <w:szCs w:val="18"/>
              </w:rPr>
            </w:pPr>
            <w:r w:rsidRPr="00D07B5B">
              <w:rPr>
                <w:sz w:val="18"/>
                <w:szCs w:val="18"/>
              </w:rPr>
              <w:t xml:space="preserve">Scores from </w:t>
            </w:r>
            <w:r w:rsidR="002860E1">
              <w:rPr>
                <w:sz w:val="18"/>
                <w:szCs w:val="18"/>
              </w:rPr>
              <w:t xml:space="preserve">approved </w:t>
            </w:r>
            <w:r w:rsidRPr="00D07B5B">
              <w:rPr>
                <w:sz w:val="18"/>
                <w:szCs w:val="18"/>
              </w:rPr>
              <w:t xml:space="preserve">assessments within 6 months of </w:t>
            </w:r>
            <w:r w:rsidR="00F63C4B">
              <w:rPr>
                <w:sz w:val="18"/>
                <w:szCs w:val="18"/>
              </w:rPr>
              <w:t>FYS</w:t>
            </w:r>
            <w:r w:rsidRPr="00D07B5B">
              <w:rPr>
                <w:sz w:val="18"/>
                <w:szCs w:val="18"/>
              </w:rPr>
              <w:t xml:space="preserve"> are allowable; and </w:t>
            </w:r>
          </w:p>
          <w:p w:rsidR="005B19D9" w:rsidRDefault="005B19D9" w:rsidP="00F63C4B">
            <w:pPr>
              <w:pStyle w:val="ListParagraph"/>
              <w:numPr>
                <w:ilvl w:val="1"/>
                <w:numId w:val="11"/>
              </w:numPr>
            </w:pPr>
            <w:r w:rsidRPr="00D07B5B">
              <w:rPr>
                <w:sz w:val="18"/>
                <w:szCs w:val="18"/>
              </w:rPr>
              <w:t xml:space="preserve">Ensure timely testing within one year of </w:t>
            </w:r>
            <w:r w:rsidR="00F63C4B">
              <w:rPr>
                <w:sz w:val="18"/>
                <w:szCs w:val="18"/>
              </w:rPr>
              <w:t>FYS</w:t>
            </w:r>
            <w:r w:rsidRPr="00D07B5B">
              <w:rPr>
                <w:sz w:val="18"/>
                <w:szCs w:val="18"/>
              </w:rPr>
              <w:t>.</w:t>
            </w:r>
          </w:p>
        </w:tc>
      </w:tr>
    </w:tbl>
    <w:p w:rsidR="00141D58" w:rsidRDefault="00141D58" w:rsidP="00656575">
      <w:pPr>
        <w:spacing w:before="240"/>
        <w:rPr>
          <w:rFonts w:ascii="Arial Narrow" w:hAnsi="Arial Narrow"/>
          <w:b/>
          <w:smallCaps/>
          <w:shadow/>
          <w:color w:val="800000"/>
          <w:sz w:val="32"/>
          <w:szCs w:val="32"/>
        </w:rPr>
      </w:pPr>
    </w:p>
    <w:p w:rsidR="00062AFA" w:rsidRDefault="00062AFA" w:rsidP="00656575">
      <w:pPr>
        <w:spacing w:before="60" w:line="240" w:lineRule="auto"/>
        <w:rPr>
          <w:rFonts w:cstheme="minorHAnsi"/>
          <w:sz w:val="20"/>
          <w:szCs w:val="20"/>
        </w:rPr>
      </w:pPr>
      <w:r>
        <w:rPr>
          <w:rFonts w:cstheme="minorHAnsi"/>
          <w:sz w:val="20"/>
          <w:szCs w:val="20"/>
        </w:rPr>
        <w:t xml:space="preserve">There are two sets of EFLs – </w:t>
      </w:r>
      <w:r w:rsidR="00586A4E">
        <w:rPr>
          <w:rFonts w:cstheme="minorHAnsi"/>
          <w:sz w:val="20"/>
          <w:szCs w:val="20"/>
        </w:rPr>
        <w:t xml:space="preserve">one </w:t>
      </w:r>
      <w:r>
        <w:rPr>
          <w:rFonts w:cstheme="minorHAnsi"/>
          <w:sz w:val="20"/>
          <w:szCs w:val="20"/>
        </w:rPr>
        <w:t xml:space="preserve">for Adult Basic Education (ABE) and </w:t>
      </w:r>
      <w:r w:rsidR="00586A4E">
        <w:rPr>
          <w:rFonts w:cstheme="minorHAnsi"/>
          <w:sz w:val="20"/>
          <w:szCs w:val="20"/>
        </w:rPr>
        <w:t xml:space="preserve">one </w:t>
      </w:r>
      <w:r>
        <w:rPr>
          <w:rFonts w:cstheme="minorHAnsi"/>
          <w:sz w:val="20"/>
          <w:szCs w:val="20"/>
        </w:rPr>
        <w:t>for English as a Second Language (ESL).  Each has six levels, and each level contains skills and competencies that students entering at that level demonstrate.</w:t>
      </w:r>
    </w:p>
    <w:p w:rsidR="002826C3" w:rsidRDefault="002826C3" w:rsidP="00586A4E">
      <w:pPr>
        <w:spacing w:line="240" w:lineRule="auto"/>
        <w:rPr>
          <w:rFonts w:cstheme="minorHAnsi"/>
          <w:sz w:val="20"/>
          <w:szCs w:val="20"/>
        </w:rPr>
      </w:pPr>
    </w:p>
    <w:tbl>
      <w:tblPr>
        <w:tblStyle w:val="TableGrid"/>
        <w:tblW w:w="0" w:type="auto"/>
        <w:tblLook w:val="04A0"/>
      </w:tblPr>
      <w:tblGrid>
        <w:gridCol w:w="5238"/>
        <w:gridCol w:w="270"/>
        <w:gridCol w:w="2880"/>
        <w:gridCol w:w="2340"/>
      </w:tblGrid>
      <w:tr w:rsidR="00E403CA" w:rsidTr="0022072B">
        <w:tc>
          <w:tcPr>
            <w:tcW w:w="5238" w:type="dxa"/>
            <w:vMerge w:val="restart"/>
            <w:tcBorders>
              <w:top w:val="nil"/>
              <w:left w:val="nil"/>
              <w:bottom w:val="nil"/>
              <w:right w:val="nil"/>
            </w:tcBorders>
          </w:tcPr>
          <w:p w:rsidR="00E403CA" w:rsidRPr="00E403CA" w:rsidRDefault="00E403CA" w:rsidP="00E403CA">
            <w:pPr>
              <w:rPr>
                <w:rFonts w:ascii="Arial Narrow" w:hAnsi="Arial Narrow" w:cstheme="minorHAnsi"/>
                <w:b/>
                <w:color w:val="943634" w:themeColor="accent2" w:themeShade="BF"/>
                <w:u w:val="single"/>
              </w:rPr>
            </w:pPr>
            <w:r w:rsidRPr="00E403CA">
              <w:rPr>
                <w:rFonts w:ascii="Arial Narrow" w:hAnsi="Arial Narrow" w:cstheme="minorHAnsi"/>
                <w:b/>
                <w:color w:val="943634" w:themeColor="accent2" w:themeShade="BF"/>
                <w:u w:val="single"/>
              </w:rPr>
              <w:t>EFLs for Adult Basic Education</w:t>
            </w:r>
            <w:r>
              <w:rPr>
                <w:rFonts w:ascii="Arial Narrow" w:hAnsi="Arial Narrow" w:cstheme="minorHAnsi"/>
                <w:b/>
                <w:color w:val="943634" w:themeColor="accent2" w:themeShade="BF"/>
                <w:u w:val="single"/>
              </w:rPr>
              <w:t xml:space="preserve"> (ABE)</w:t>
            </w:r>
          </w:p>
          <w:p w:rsidR="00E403CA" w:rsidRPr="0022072B" w:rsidRDefault="00E403CA" w:rsidP="00580577">
            <w:pPr>
              <w:spacing w:before="60"/>
              <w:rPr>
                <w:rFonts w:cstheme="minorHAnsi"/>
                <w:sz w:val="19"/>
                <w:szCs w:val="19"/>
              </w:rPr>
            </w:pPr>
            <w:r w:rsidRPr="0022072B">
              <w:rPr>
                <w:rFonts w:cstheme="minorHAnsi"/>
                <w:sz w:val="19"/>
                <w:szCs w:val="19"/>
              </w:rPr>
              <w:t xml:space="preserve">Each ABE level describes </w:t>
            </w:r>
            <w:r w:rsidRPr="0022072B">
              <w:rPr>
                <w:color w:val="000000" w:themeColor="text1"/>
                <w:sz w:val="19"/>
                <w:szCs w:val="19"/>
              </w:rPr>
              <w:t>basic reading, writing, numeracy, and functional and workplace skills that can be expected from a person functioning at that level.  The first four ABE levels indicate basic skills deficiency.  The last two ABE levels indicate non basic skills deficiency.</w:t>
            </w:r>
          </w:p>
        </w:tc>
        <w:tc>
          <w:tcPr>
            <w:tcW w:w="270" w:type="dxa"/>
            <w:tcBorders>
              <w:top w:val="nil"/>
              <w:left w:val="nil"/>
              <w:bottom w:val="nil"/>
              <w:right w:val="doubleWave" w:sz="6" w:space="0" w:color="auto"/>
            </w:tcBorders>
          </w:tcPr>
          <w:p w:rsidR="00E403CA" w:rsidRDefault="00E403CA" w:rsidP="00E403CA">
            <w:pPr>
              <w:jc w:val="center"/>
              <w:rPr>
                <w:rFonts w:cstheme="minorHAnsi"/>
                <w:sz w:val="20"/>
                <w:szCs w:val="20"/>
              </w:rPr>
            </w:pPr>
          </w:p>
        </w:tc>
        <w:tc>
          <w:tcPr>
            <w:tcW w:w="2880" w:type="dxa"/>
            <w:tcBorders>
              <w:top w:val="doubleWave" w:sz="6" w:space="0" w:color="auto"/>
              <w:left w:val="doubleWave" w:sz="6" w:space="0" w:color="auto"/>
              <w:bottom w:val="nil"/>
            </w:tcBorders>
          </w:tcPr>
          <w:p w:rsidR="00E403CA" w:rsidRPr="004B33AC" w:rsidRDefault="00E403CA" w:rsidP="00E403CA">
            <w:pPr>
              <w:jc w:val="center"/>
              <w:rPr>
                <w:rFonts w:ascii="Arial Narrow" w:hAnsi="Arial Narrow" w:cstheme="minorHAnsi"/>
                <w:sz w:val="18"/>
                <w:szCs w:val="18"/>
              </w:rPr>
            </w:pPr>
            <w:r w:rsidRPr="004B33AC">
              <w:rPr>
                <w:rFonts w:ascii="Arial Narrow" w:hAnsi="Arial Narrow" w:cstheme="minorHAnsi"/>
                <w:sz w:val="18"/>
                <w:szCs w:val="18"/>
              </w:rPr>
              <w:t>Beginning Literacy</w:t>
            </w:r>
          </w:p>
        </w:tc>
        <w:tc>
          <w:tcPr>
            <w:tcW w:w="2340" w:type="dxa"/>
            <w:vMerge w:val="restart"/>
            <w:tcBorders>
              <w:top w:val="doubleWave" w:sz="6" w:space="0" w:color="auto"/>
              <w:right w:val="doubleWave" w:sz="6" w:space="0" w:color="auto"/>
            </w:tcBorders>
            <w:vAlign w:val="center"/>
          </w:tcPr>
          <w:p w:rsidR="00E403CA" w:rsidRPr="004B33AC" w:rsidRDefault="00E403CA" w:rsidP="00E403CA">
            <w:pPr>
              <w:jc w:val="center"/>
              <w:rPr>
                <w:rFonts w:ascii="Arial Narrow" w:hAnsi="Arial Narrow" w:cstheme="minorHAnsi"/>
                <w:sz w:val="18"/>
                <w:szCs w:val="18"/>
              </w:rPr>
            </w:pPr>
            <w:r w:rsidRPr="004B33AC">
              <w:rPr>
                <w:rFonts w:ascii="Arial Narrow" w:hAnsi="Arial Narrow" w:cstheme="minorHAnsi"/>
                <w:sz w:val="18"/>
                <w:szCs w:val="18"/>
              </w:rPr>
              <w:t>Basic Skills Deficient</w:t>
            </w:r>
          </w:p>
        </w:tc>
      </w:tr>
      <w:tr w:rsidR="00E403CA" w:rsidTr="0022072B">
        <w:tc>
          <w:tcPr>
            <w:tcW w:w="5238" w:type="dxa"/>
            <w:vMerge/>
            <w:tcBorders>
              <w:top w:val="nil"/>
              <w:left w:val="nil"/>
              <w:bottom w:val="nil"/>
              <w:right w:val="nil"/>
            </w:tcBorders>
          </w:tcPr>
          <w:p w:rsidR="00E403CA" w:rsidRDefault="00E403CA">
            <w:pPr>
              <w:rPr>
                <w:rFonts w:cstheme="minorHAnsi"/>
                <w:sz w:val="20"/>
                <w:szCs w:val="20"/>
              </w:rPr>
            </w:pPr>
          </w:p>
        </w:tc>
        <w:tc>
          <w:tcPr>
            <w:tcW w:w="270" w:type="dxa"/>
            <w:tcBorders>
              <w:top w:val="nil"/>
              <w:left w:val="nil"/>
              <w:bottom w:val="nil"/>
              <w:right w:val="doubleWave" w:sz="6" w:space="0" w:color="auto"/>
            </w:tcBorders>
          </w:tcPr>
          <w:p w:rsidR="00E403CA" w:rsidRDefault="00E403CA" w:rsidP="00E403CA">
            <w:pPr>
              <w:jc w:val="center"/>
              <w:rPr>
                <w:rFonts w:cstheme="minorHAnsi"/>
                <w:sz w:val="20"/>
                <w:szCs w:val="20"/>
              </w:rPr>
            </w:pPr>
          </w:p>
        </w:tc>
        <w:tc>
          <w:tcPr>
            <w:tcW w:w="2880" w:type="dxa"/>
            <w:tcBorders>
              <w:top w:val="nil"/>
              <w:left w:val="doubleWave" w:sz="6" w:space="0" w:color="auto"/>
              <w:bottom w:val="nil"/>
            </w:tcBorders>
          </w:tcPr>
          <w:p w:rsidR="00E403CA" w:rsidRPr="004B33AC" w:rsidRDefault="00E403CA" w:rsidP="00E403CA">
            <w:pPr>
              <w:jc w:val="center"/>
              <w:rPr>
                <w:rFonts w:ascii="Arial Narrow" w:hAnsi="Arial Narrow" w:cstheme="minorHAnsi"/>
                <w:sz w:val="18"/>
                <w:szCs w:val="18"/>
              </w:rPr>
            </w:pPr>
            <w:r w:rsidRPr="004B33AC">
              <w:rPr>
                <w:rFonts w:ascii="Arial Narrow" w:hAnsi="Arial Narrow" w:cstheme="minorHAnsi"/>
                <w:sz w:val="18"/>
                <w:szCs w:val="18"/>
              </w:rPr>
              <w:t>Beginning Basic Education</w:t>
            </w:r>
          </w:p>
        </w:tc>
        <w:tc>
          <w:tcPr>
            <w:tcW w:w="2340" w:type="dxa"/>
            <w:vMerge/>
            <w:tcBorders>
              <w:right w:val="doubleWave" w:sz="6" w:space="0" w:color="auto"/>
            </w:tcBorders>
            <w:vAlign w:val="center"/>
          </w:tcPr>
          <w:p w:rsidR="00E403CA" w:rsidRPr="004B33AC" w:rsidRDefault="00E403CA" w:rsidP="00586A4E">
            <w:pPr>
              <w:jc w:val="center"/>
              <w:rPr>
                <w:rFonts w:ascii="Arial Narrow" w:hAnsi="Arial Narrow" w:cstheme="minorHAnsi"/>
                <w:sz w:val="18"/>
                <w:szCs w:val="18"/>
              </w:rPr>
            </w:pPr>
          </w:p>
        </w:tc>
      </w:tr>
      <w:tr w:rsidR="00E403CA" w:rsidTr="0022072B">
        <w:tc>
          <w:tcPr>
            <w:tcW w:w="5238" w:type="dxa"/>
            <w:vMerge/>
            <w:tcBorders>
              <w:top w:val="nil"/>
              <w:left w:val="nil"/>
              <w:bottom w:val="nil"/>
              <w:right w:val="nil"/>
            </w:tcBorders>
          </w:tcPr>
          <w:p w:rsidR="00E403CA" w:rsidRDefault="00E403CA">
            <w:pPr>
              <w:rPr>
                <w:rFonts w:cstheme="minorHAnsi"/>
                <w:sz w:val="20"/>
                <w:szCs w:val="20"/>
              </w:rPr>
            </w:pPr>
          </w:p>
        </w:tc>
        <w:tc>
          <w:tcPr>
            <w:tcW w:w="270" w:type="dxa"/>
            <w:tcBorders>
              <w:top w:val="nil"/>
              <w:left w:val="nil"/>
              <w:bottom w:val="nil"/>
              <w:right w:val="doubleWave" w:sz="6" w:space="0" w:color="auto"/>
            </w:tcBorders>
          </w:tcPr>
          <w:p w:rsidR="00E403CA" w:rsidRDefault="00E403CA" w:rsidP="00E403CA">
            <w:pPr>
              <w:jc w:val="center"/>
              <w:rPr>
                <w:rFonts w:cstheme="minorHAnsi"/>
                <w:sz w:val="20"/>
                <w:szCs w:val="20"/>
              </w:rPr>
            </w:pPr>
          </w:p>
        </w:tc>
        <w:tc>
          <w:tcPr>
            <w:tcW w:w="2880" w:type="dxa"/>
            <w:tcBorders>
              <w:top w:val="nil"/>
              <w:left w:val="doubleWave" w:sz="6" w:space="0" w:color="auto"/>
              <w:bottom w:val="nil"/>
            </w:tcBorders>
          </w:tcPr>
          <w:p w:rsidR="00E403CA" w:rsidRPr="004B33AC" w:rsidRDefault="00E403CA" w:rsidP="00E403CA">
            <w:pPr>
              <w:jc w:val="center"/>
              <w:rPr>
                <w:rFonts w:ascii="Arial Narrow" w:hAnsi="Arial Narrow" w:cstheme="minorHAnsi"/>
                <w:sz w:val="18"/>
                <w:szCs w:val="18"/>
              </w:rPr>
            </w:pPr>
            <w:r w:rsidRPr="004B33AC">
              <w:rPr>
                <w:rFonts w:ascii="Arial Narrow" w:hAnsi="Arial Narrow" w:cstheme="minorHAnsi"/>
                <w:sz w:val="18"/>
                <w:szCs w:val="18"/>
              </w:rPr>
              <w:t>Low Intermediate Basic Education</w:t>
            </w:r>
          </w:p>
        </w:tc>
        <w:tc>
          <w:tcPr>
            <w:tcW w:w="2340" w:type="dxa"/>
            <w:vMerge/>
            <w:tcBorders>
              <w:right w:val="doubleWave" w:sz="6" w:space="0" w:color="auto"/>
            </w:tcBorders>
            <w:vAlign w:val="center"/>
          </w:tcPr>
          <w:p w:rsidR="00E403CA" w:rsidRPr="004B33AC" w:rsidRDefault="00E403CA" w:rsidP="00586A4E">
            <w:pPr>
              <w:jc w:val="center"/>
              <w:rPr>
                <w:rFonts w:ascii="Arial Narrow" w:hAnsi="Arial Narrow" w:cstheme="minorHAnsi"/>
                <w:sz w:val="18"/>
                <w:szCs w:val="18"/>
              </w:rPr>
            </w:pPr>
          </w:p>
        </w:tc>
      </w:tr>
      <w:tr w:rsidR="00E403CA" w:rsidTr="004B33AC">
        <w:tc>
          <w:tcPr>
            <w:tcW w:w="5238" w:type="dxa"/>
            <w:vMerge/>
            <w:tcBorders>
              <w:top w:val="nil"/>
              <w:left w:val="nil"/>
              <w:bottom w:val="nil"/>
              <w:right w:val="nil"/>
            </w:tcBorders>
          </w:tcPr>
          <w:p w:rsidR="00E403CA" w:rsidRDefault="00E403CA">
            <w:pPr>
              <w:rPr>
                <w:rFonts w:cstheme="minorHAnsi"/>
                <w:sz w:val="20"/>
                <w:szCs w:val="20"/>
              </w:rPr>
            </w:pPr>
          </w:p>
        </w:tc>
        <w:tc>
          <w:tcPr>
            <w:tcW w:w="270" w:type="dxa"/>
            <w:tcBorders>
              <w:top w:val="nil"/>
              <w:left w:val="nil"/>
              <w:bottom w:val="nil"/>
              <w:right w:val="doubleWave" w:sz="6" w:space="0" w:color="auto"/>
            </w:tcBorders>
          </w:tcPr>
          <w:p w:rsidR="00E403CA" w:rsidRDefault="00E403CA" w:rsidP="00E403CA">
            <w:pPr>
              <w:jc w:val="center"/>
              <w:rPr>
                <w:rFonts w:cstheme="minorHAnsi"/>
                <w:sz w:val="20"/>
                <w:szCs w:val="20"/>
              </w:rPr>
            </w:pPr>
          </w:p>
        </w:tc>
        <w:tc>
          <w:tcPr>
            <w:tcW w:w="2880" w:type="dxa"/>
            <w:tcBorders>
              <w:top w:val="nil"/>
              <w:left w:val="doubleWave" w:sz="6" w:space="0" w:color="auto"/>
              <w:bottom w:val="single" w:sz="4" w:space="0" w:color="auto"/>
            </w:tcBorders>
          </w:tcPr>
          <w:p w:rsidR="00E403CA" w:rsidRPr="004B33AC" w:rsidRDefault="00E403CA" w:rsidP="00E403CA">
            <w:pPr>
              <w:jc w:val="center"/>
              <w:rPr>
                <w:rFonts w:ascii="Arial Narrow" w:hAnsi="Arial Narrow" w:cstheme="minorHAnsi"/>
                <w:sz w:val="18"/>
                <w:szCs w:val="18"/>
              </w:rPr>
            </w:pPr>
            <w:r w:rsidRPr="004B33AC">
              <w:rPr>
                <w:rFonts w:ascii="Arial Narrow" w:hAnsi="Arial Narrow" w:cstheme="minorHAnsi"/>
                <w:sz w:val="18"/>
                <w:szCs w:val="18"/>
              </w:rPr>
              <w:t>High Intermediate Basic Education</w:t>
            </w:r>
          </w:p>
        </w:tc>
        <w:tc>
          <w:tcPr>
            <w:tcW w:w="2340" w:type="dxa"/>
            <w:vMerge/>
            <w:tcBorders>
              <w:bottom w:val="single" w:sz="4" w:space="0" w:color="auto"/>
              <w:right w:val="doubleWave" w:sz="6" w:space="0" w:color="auto"/>
            </w:tcBorders>
            <w:vAlign w:val="center"/>
          </w:tcPr>
          <w:p w:rsidR="00E403CA" w:rsidRPr="004B33AC" w:rsidRDefault="00E403CA" w:rsidP="00586A4E">
            <w:pPr>
              <w:jc w:val="center"/>
              <w:rPr>
                <w:rFonts w:ascii="Arial Narrow" w:hAnsi="Arial Narrow" w:cstheme="minorHAnsi"/>
                <w:sz w:val="18"/>
                <w:szCs w:val="18"/>
              </w:rPr>
            </w:pPr>
          </w:p>
        </w:tc>
      </w:tr>
      <w:tr w:rsidR="00E403CA" w:rsidTr="004B33AC">
        <w:tc>
          <w:tcPr>
            <w:tcW w:w="5238" w:type="dxa"/>
            <w:vMerge/>
            <w:tcBorders>
              <w:top w:val="nil"/>
              <w:left w:val="nil"/>
              <w:bottom w:val="nil"/>
              <w:right w:val="nil"/>
            </w:tcBorders>
          </w:tcPr>
          <w:p w:rsidR="00E403CA" w:rsidRDefault="00E403CA">
            <w:pPr>
              <w:rPr>
                <w:rFonts w:cstheme="minorHAnsi"/>
                <w:sz w:val="20"/>
                <w:szCs w:val="20"/>
              </w:rPr>
            </w:pPr>
          </w:p>
        </w:tc>
        <w:tc>
          <w:tcPr>
            <w:tcW w:w="270" w:type="dxa"/>
            <w:tcBorders>
              <w:top w:val="nil"/>
              <w:left w:val="nil"/>
              <w:bottom w:val="nil"/>
              <w:right w:val="doubleWave" w:sz="6" w:space="0" w:color="auto"/>
            </w:tcBorders>
          </w:tcPr>
          <w:p w:rsidR="00E403CA" w:rsidRDefault="00E403CA" w:rsidP="00E403CA">
            <w:pPr>
              <w:jc w:val="center"/>
              <w:rPr>
                <w:rFonts w:cstheme="minorHAnsi"/>
                <w:sz w:val="20"/>
                <w:szCs w:val="20"/>
              </w:rPr>
            </w:pPr>
          </w:p>
        </w:tc>
        <w:tc>
          <w:tcPr>
            <w:tcW w:w="2880" w:type="dxa"/>
            <w:tcBorders>
              <w:left w:val="doubleWave" w:sz="6" w:space="0" w:color="auto"/>
              <w:bottom w:val="nil"/>
            </w:tcBorders>
          </w:tcPr>
          <w:p w:rsidR="00E403CA" w:rsidRPr="004B33AC" w:rsidRDefault="00E403CA" w:rsidP="00E403CA">
            <w:pPr>
              <w:jc w:val="center"/>
              <w:rPr>
                <w:rFonts w:ascii="Arial Narrow" w:hAnsi="Arial Narrow" w:cstheme="minorHAnsi"/>
                <w:sz w:val="18"/>
                <w:szCs w:val="18"/>
              </w:rPr>
            </w:pPr>
            <w:r w:rsidRPr="004B33AC">
              <w:rPr>
                <w:rFonts w:ascii="Arial Narrow" w:hAnsi="Arial Narrow" w:cstheme="minorHAnsi"/>
                <w:sz w:val="18"/>
                <w:szCs w:val="18"/>
              </w:rPr>
              <w:t>Low Adult Secondary Education</w:t>
            </w:r>
          </w:p>
        </w:tc>
        <w:tc>
          <w:tcPr>
            <w:tcW w:w="2340" w:type="dxa"/>
            <w:vMerge w:val="restart"/>
            <w:tcBorders>
              <w:right w:val="doubleWave" w:sz="6" w:space="0" w:color="auto"/>
            </w:tcBorders>
            <w:vAlign w:val="center"/>
          </w:tcPr>
          <w:p w:rsidR="00E403CA" w:rsidRPr="004B33AC" w:rsidRDefault="00E403CA" w:rsidP="00586A4E">
            <w:pPr>
              <w:jc w:val="center"/>
              <w:rPr>
                <w:rFonts w:ascii="Arial Narrow" w:hAnsi="Arial Narrow" w:cstheme="minorHAnsi"/>
                <w:sz w:val="18"/>
                <w:szCs w:val="18"/>
              </w:rPr>
            </w:pPr>
            <w:r w:rsidRPr="004B33AC">
              <w:rPr>
                <w:rFonts w:ascii="Arial Narrow" w:hAnsi="Arial Narrow" w:cstheme="minorHAnsi"/>
                <w:sz w:val="18"/>
                <w:szCs w:val="18"/>
              </w:rPr>
              <w:t>Not Basic Skills Deficient</w:t>
            </w:r>
          </w:p>
        </w:tc>
      </w:tr>
      <w:tr w:rsidR="00E403CA" w:rsidTr="004B33AC">
        <w:trPr>
          <w:trHeight w:val="260"/>
        </w:trPr>
        <w:tc>
          <w:tcPr>
            <w:tcW w:w="5238" w:type="dxa"/>
            <w:vMerge/>
            <w:tcBorders>
              <w:top w:val="nil"/>
              <w:left w:val="nil"/>
              <w:bottom w:val="nil"/>
              <w:right w:val="nil"/>
            </w:tcBorders>
          </w:tcPr>
          <w:p w:rsidR="00E403CA" w:rsidRDefault="00E403CA">
            <w:pPr>
              <w:rPr>
                <w:rFonts w:cstheme="minorHAnsi"/>
                <w:sz w:val="20"/>
                <w:szCs w:val="20"/>
              </w:rPr>
            </w:pPr>
          </w:p>
        </w:tc>
        <w:tc>
          <w:tcPr>
            <w:tcW w:w="270" w:type="dxa"/>
            <w:tcBorders>
              <w:top w:val="nil"/>
              <w:left w:val="nil"/>
              <w:bottom w:val="nil"/>
              <w:right w:val="doubleWave" w:sz="6" w:space="0" w:color="auto"/>
            </w:tcBorders>
          </w:tcPr>
          <w:p w:rsidR="00E403CA" w:rsidRDefault="00E403CA" w:rsidP="00E403CA">
            <w:pPr>
              <w:jc w:val="center"/>
              <w:rPr>
                <w:rFonts w:cstheme="minorHAnsi"/>
                <w:sz w:val="20"/>
                <w:szCs w:val="20"/>
              </w:rPr>
            </w:pPr>
          </w:p>
        </w:tc>
        <w:tc>
          <w:tcPr>
            <w:tcW w:w="2880" w:type="dxa"/>
            <w:tcBorders>
              <w:top w:val="nil"/>
              <w:left w:val="doubleWave" w:sz="6" w:space="0" w:color="auto"/>
              <w:bottom w:val="doubleWave" w:sz="6" w:space="0" w:color="auto"/>
            </w:tcBorders>
          </w:tcPr>
          <w:p w:rsidR="00E403CA" w:rsidRPr="004B33AC" w:rsidRDefault="00E403CA" w:rsidP="00E403CA">
            <w:pPr>
              <w:jc w:val="center"/>
              <w:rPr>
                <w:rFonts w:ascii="Arial Narrow" w:hAnsi="Arial Narrow" w:cstheme="minorHAnsi"/>
                <w:sz w:val="18"/>
                <w:szCs w:val="18"/>
              </w:rPr>
            </w:pPr>
            <w:r w:rsidRPr="004B33AC">
              <w:rPr>
                <w:rFonts w:ascii="Arial Narrow" w:hAnsi="Arial Narrow" w:cstheme="minorHAnsi"/>
                <w:sz w:val="18"/>
                <w:szCs w:val="18"/>
              </w:rPr>
              <w:t>High Adult Secondary Education</w:t>
            </w:r>
          </w:p>
        </w:tc>
        <w:tc>
          <w:tcPr>
            <w:tcW w:w="2340" w:type="dxa"/>
            <w:vMerge/>
            <w:tcBorders>
              <w:bottom w:val="doubleWave" w:sz="6" w:space="0" w:color="auto"/>
              <w:right w:val="doubleWave" w:sz="6" w:space="0" w:color="auto"/>
            </w:tcBorders>
          </w:tcPr>
          <w:p w:rsidR="00E403CA" w:rsidRPr="00E8376B" w:rsidRDefault="00E403CA">
            <w:pPr>
              <w:rPr>
                <w:rFonts w:ascii="Arial Narrow" w:hAnsi="Arial Narrow" w:cstheme="minorHAnsi"/>
                <w:sz w:val="20"/>
                <w:szCs w:val="20"/>
              </w:rPr>
            </w:pPr>
          </w:p>
        </w:tc>
      </w:tr>
    </w:tbl>
    <w:p w:rsidR="002F6DE6" w:rsidRDefault="002F6DE6" w:rsidP="004B33AC">
      <w:pPr>
        <w:spacing w:line="240" w:lineRule="auto"/>
        <w:rPr>
          <w:rFonts w:cstheme="minorHAnsi"/>
          <w:sz w:val="20"/>
          <w:szCs w:val="20"/>
        </w:rPr>
      </w:pPr>
    </w:p>
    <w:tbl>
      <w:tblPr>
        <w:tblStyle w:val="TableGrid"/>
        <w:tblW w:w="0" w:type="auto"/>
        <w:tblLook w:val="04A0"/>
      </w:tblPr>
      <w:tblGrid>
        <w:gridCol w:w="5238"/>
        <w:gridCol w:w="270"/>
        <w:gridCol w:w="2880"/>
        <w:gridCol w:w="2340"/>
      </w:tblGrid>
      <w:tr w:rsidR="00C01C05" w:rsidTr="0022072B">
        <w:tc>
          <w:tcPr>
            <w:tcW w:w="5238" w:type="dxa"/>
            <w:vMerge w:val="restart"/>
            <w:tcBorders>
              <w:top w:val="nil"/>
              <w:left w:val="nil"/>
              <w:bottom w:val="nil"/>
              <w:right w:val="nil"/>
            </w:tcBorders>
          </w:tcPr>
          <w:p w:rsidR="00C01C05" w:rsidRPr="00E403CA" w:rsidRDefault="00C01C05" w:rsidP="001052CE">
            <w:pPr>
              <w:rPr>
                <w:rFonts w:ascii="Arial Narrow" w:hAnsi="Arial Narrow" w:cstheme="minorHAnsi"/>
                <w:b/>
                <w:color w:val="943634" w:themeColor="accent2" w:themeShade="BF"/>
                <w:u w:val="single"/>
              </w:rPr>
            </w:pPr>
            <w:r w:rsidRPr="00E403CA">
              <w:rPr>
                <w:rFonts w:ascii="Arial Narrow" w:hAnsi="Arial Narrow" w:cstheme="minorHAnsi"/>
                <w:b/>
                <w:color w:val="943634" w:themeColor="accent2" w:themeShade="BF"/>
                <w:u w:val="single"/>
              </w:rPr>
              <w:t xml:space="preserve">EFLs for </w:t>
            </w:r>
            <w:r>
              <w:rPr>
                <w:rFonts w:ascii="Arial Narrow" w:hAnsi="Arial Narrow" w:cstheme="minorHAnsi"/>
                <w:b/>
                <w:color w:val="943634" w:themeColor="accent2" w:themeShade="BF"/>
                <w:u w:val="single"/>
              </w:rPr>
              <w:t>English as a Second Language (ESL)</w:t>
            </w:r>
          </w:p>
          <w:p w:rsidR="00C01C05" w:rsidRPr="0022072B" w:rsidRDefault="00C01C05" w:rsidP="004B33AC">
            <w:pPr>
              <w:spacing w:before="60"/>
              <w:rPr>
                <w:rFonts w:cstheme="minorHAnsi"/>
                <w:sz w:val="18"/>
                <w:szCs w:val="18"/>
              </w:rPr>
            </w:pPr>
            <w:r w:rsidRPr="0022072B">
              <w:rPr>
                <w:rFonts w:cstheme="minorHAnsi"/>
                <w:sz w:val="18"/>
                <w:szCs w:val="18"/>
              </w:rPr>
              <w:t xml:space="preserve">Each ESL level describes </w:t>
            </w:r>
            <w:r w:rsidRPr="0022072B">
              <w:rPr>
                <w:color w:val="000000" w:themeColor="text1"/>
                <w:sz w:val="18"/>
                <w:szCs w:val="18"/>
              </w:rPr>
              <w:t>speaking</w:t>
            </w:r>
            <w:r w:rsidR="004B33AC">
              <w:rPr>
                <w:color w:val="000000" w:themeColor="text1"/>
                <w:sz w:val="18"/>
                <w:szCs w:val="18"/>
              </w:rPr>
              <w:t>/</w:t>
            </w:r>
            <w:r w:rsidRPr="0022072B">
              <w:rPr>
                <w:color w:val="000000" w:themeColor="text1"/>
                <w:sz w:val="18"/>
                <w:szCs w:val="18"/>
              </w:rPr>
              <w:t>listening skills and basic reading, writing and functional workplace skills that can be expected from a person functioning at that level.  All of the levels for ESL represent basic skills deficiency.</w:t>
            </w:r>
            <w:r w:rsidR="00D07B5B" w:rsidRPr="0022072B">
              <w:rPr>
                <w:color w:val="000000" w:themeColor="text1"/>
                <w:sz w:val="18"/>
                <w:szCs w:val="18"/>
              </w:rPr>
              <w:t xml:space="preserve">  It is necessary to score above </w:t>
            </w:r>
            <w:r w:rsidR="00D07B5B" w:rsidRPr="0022072B">
              <w:rPr>
                <w:i/>
                <w:color w:val="000000" w:themeColor="text1"/>
                <w:sz w:val="18"/>
                <w:szCs w:val="18"/>
              </w:rPr>
              <w:t xml:space="preserve">Advanced ESL </w:t>
            </w:r>
            <w:r w:rsidR="00D07B5B" w:rsidRPr="0022072B">
              <w:rPr>
                <w:color w:val="000000" w:themeColor="text1"/>
                <w:sz w:val="18"/>
                <w:szCs w:val="18"/>
              </w:rPr>
              <w:t>to be basic skills proficient.</w:t>
            </w:r>
            <w:r w:rsidR="00023527" w:rsidRPr="0022072B">
              <w:rPr>
                <w:color w:val="000000" w:themeColor="text1"/>
                <w:sz w:val="18"/>
                <w:szCs w:val="18"/>
              </w:rPr>
              <w:t xml:space="preserve">  (</w:t>
            </w:r>
            <w:r w:rsidR="0022072B">
              <w:rPr>
                <w:color w:val="000000" w:themeColor="text1"/>
                <w:sz w:val="18"/>
                <w:szCs w:val="18"/>
              </w:rPr>
              <w:t>R</w:t>
            </w:r>
            <w:r w:rsidR="00023527" w:rsidRPr="0022072B">
              <w:rPr>
                <w:color w:val="000000" w:themeColor="text1"/>
                <w:sz w:val="18"/>
                <w:szCs w:val="18"/>
              </w:rPr>
              <w:t xml:space="preserve">eporting instructions for individual records identify the level above </w:t>
            </w:r>
            <w:r w:rsidR="00023527" w:rsidRPr="0022072B">
              <w:rPr>
                <w:i/>
                <w:color w:val="000000" w:themeColor="text1"/>
                <w:sz w:val="18"/>
                <w:szCs w:val="18"/>
              </w:rPr>
              <w:t xml:space="preserve">Advanced ESL </w:t>
            </w:r>
            <w:r w:rsidR="00023527" w:rsidRPr="0022072B">
              <w:rPr>
                <w:color w:val="000000" w:themeColor="text1"/>
                <w:sz w:val="18"/>
                <w:szCs w:val="18"/>
              </w:rPr>
              <w:t xml:space="preserve">as </w:t>
            </w:r>
            <w:r w:rsidR="00023527" w:rsidRPr="0022072B">
              <w:rPr>
                <w:i/>
                <w:color w:val="000000" w:themeColor="text1"/>
                <w:sz w:val="18"/>
                <w:szCs w:val="18"/>
              </w:rPr>
              <w:t>Exit ESL</w:t>
            </w:r>
            <w:r w:rsidR="00023527" w:rsidRPr="0022072B">
              <w:rPr>
                <w:color w:val="000000" w:themeColor="text1"/>
                <w:sz w:val="18"/>
                <w:szCs w:val="18"/>
              </w:rPr>
              <w:t>.)</w:t>
            </w:r>
          </w:p>
        </w:tc>
        <w:tc>
          <w:tcPr>
            <w:tcW w:w="270" w:type="dxa"/>
            <w:tcBorders>
              <w:top w:val="nil"/>
              <w:left w:val="nil"/>
              <w:bottom w:val="nil"/>
              <w:right w:val="doubleWave" w:sz="6" w:space="0" w:color="auto"/>
            </w:tcBorders>
          </w:tcPr>
          <w:p w:rsidR="00C01C05" w:rsidRDefault="00C01C05" w:rsidP="001052CE">
            <w:pPr>
              <w:jc w:val="center"/>
              <w:rPr>
                <w:rFonts w:cstheme="minorHAnsi"/>
                <w:sz w:val="20"/>
                <w:szCs w:val="20"/>
              </w:rPr>
            </w:pPr>
          </w:p>
        </w:tc>
        <w:tc>
          <w:tcPr>
            <w:tcW w:w="2880" w:type="dxa"/>
            <w:vMerge w:val="restart"/>
            <w:tcBorders>
              <w:top w:val="doubleWave" w:sz="6" w:space="0" w:color="auto"/>
              <w:left w:val="doubleWave" w:sz="6" w:space="0" w:color="auto"/>
              <w:bottom w:val="doubleWave" w:sz="6" w:space="0" w:color="auto"/>
            </w:tcBorders>
            <w:vAlign w:val="center"/>
          </w:tcPr>
          <w:p w:rsidR="00C01C05" w:rsidRPr="004B33AC" w:rsidRDefault="00C01C05" w:rsidP="00D07B5B">
            <w:pPr>
              <w:jc w:val="center"/>
              <w:rPr>
                <w:rFonts w:ascii="Arial Narrow" w:hAnsi="Arial Narrow" w:cstheme="minorHAnsi"/>
                <w:sz w:val="18"/>
                <w:szCs w:val="18"/>
              </w:rPr>
            </w:pPr>
            <w:r w:rsidRPr="004B33AC">
              <w:rPr>
                <w:rFonts w:ascii="Arial Narrow" w:hAnsi="Arial Narrow" w:cstheme="minorHAnsi"/>
                <w:sz w:val="18"/>
                <w:szCs w:val="18"/>
              </w:rPr>
              <w:t>Beginning Literacy</w:t>
            </w:r>
          </w:p>
          <w:p w:rsidR="00C01C05" w:rsidRPr="004B33AC" w:rsidRDefault="00C01C05" w:rsidP="00D07B5B">
            <w:pPr>
              <w:jc w:val="center"/>
              <w:rPr>
                <w:rFonts w:ascii="Arial Narrow" w:hAnsi="Arial Narrow" w:cstheme="minorHAnsi"/>
                <w:sz w:val="18"/>
                <w:szCs w:val="18"/>
              </w:rPr>
            </w:pPr>
            <w:r w:rsidRPr="004B33AC">
              <w:rPr>
                <w:rFonts w:ascii="Arial Narrow" w:hAnsi="Arial Narrow" w:cstheme="minorHAnsi"/>
                <w:sz w:val="18"/>
                <w:szCs w:val="18"/>
              </w:rPr>
              <w:t>Low Beginning ESL</w:t>
            </w:r>
          </w:p>
          <w:p w:rsidR="00C01C05" w:rsidRPr="004B33AC" w:rsidRDefault="00C01C05" w:rsidP="00D07B5B">
            <w:pPr>
              <w:jc w:val="center"/>
              <w:rPr>
                <w:rFonts w:ascii="Arial Narrow" w:hAnsi="Arial Narrow" w:cstheme="minorHAnsi"/>
                <w:sz w:val="18"/>
                <w:szCs w:val="18"/>
              </w:rPr>
            </w:pPr>
            <w:r w:rsidRPr="004B33AC">
              <w:rPr>
                <w:rFonts w:ascii="Arial Narrow" w:hAnsi="Arial Narrow" w:cstheme="minorHAnsi"/>
                <w:sz w:val="18"/>
                <w:szCs w:val="18"/>
              </w:rPr>
              <w:t>High Beginning ESL</w:t>
            </w:r>
          </w:p>
          <w:p w:rsidR="00C01C05" w:rsidRPr="004B33AC" w:rsidRDefault="00C01C05" w:rsidP="00D07B5B">
            <w:pPr>
              <w:jc w:val="center"/>
              <w:rPr>
                <w:rFonts w:ascii="Arial Narrow" w:hAnsi="Arial Narrow" w:cstheme="minorHAnsi"/>
                <w:sz w:val="18"/>
                <w:szCs w:val="18"/>
              </w:rPr>
            </w:pPr>
            <w:r w:rsidRPr="004B33AC">
              <w:rPr>
                <w:rFonts w:ascii="Arial Narrow" w:hAnsi="Arial Narrow" w:cstheme="minorHAnsi"/>
                <w:sz w:val="18"/>
                <w:szCs w:val="18"/>
              </w:rPr>
              <w:t>Low Intermediate ESL</w:t>
            </w:r>
          </w:p>
          <w:p w:rsidR="00C01C05" w:rsidRPr="004B33AC" w:rsidRDefault="00C01C05" w:rsidP="00D07B5B">
            <w:pPr>
              <w:jc w:val="center"/>
              <w:rPr>
                <w:rFonts w:ascii="Arial Narrow" w:hAnsi="Arial Narrow" w:cstheme="minorHAnsi"/>
                <w:sz w:val="18"/>
                <w:szCs w:val="18"/>
              </w:rPr>
            </w:pPr>
            <w:r w:rsidRPr="004B33AC">
              <w:rPr>
                <w:rFonts w:ascii="Arial Narrow" w:hAnsi="Arial Narrow" w:cstheme="minorHAnsi"/>
                <w:sz w:val="18"/>
                <w:szCs w:val="18"/>
              </w:rPr>
              <w:t>High Intermediate ESL</w:t>
            </w:r>
          </w:p>
          <w:p w:rsidR="00C01C05" w:rsidRPr="004B33AC" w:rsidRDefault="00C01C05" w:rsidP="00D07B5B">
            <w:pPr>
              <w:jc w:val="center"/>
              <w:rPr>
                <w:rFonts w:ascii="Arial Narrow" w:hAnsi="Arial Narrow" w:cstheme="minorHAnsi"/>
                <w:sz w:val="18"/>
                <w:szCs w:val="18"/>
              </w:rPr>
            </w:pPr>
            <w:r w:rsidRPr="004B33AC">
              <w:rPr>
                <w:rFonts w:ascii="Arial Narrow" w:hAnsi="Arial Narrow" w:cstheme="minorHAnsi"/>
                <w:sz w:val="18"/>
                <w:szCs w:val="18"/>
              </w:rPr>
              <w:t>Advanced ESL</w:t>
            </w:r>
          </w:p>
        </w:tc>
        <w:tc>
          <w:tcPr>
            <w:tcW w:w="2340" w:type="dxa"/>
            <w:vMerge w:val="restart"/>
            <w:tcBorders>
              <w:top w:val="doubleWave" w:sz="6" w:space="0" w:color="auto"/>
              <w:bottom w:val="doubleWave" w:sz="6" w:space="0" w:color="auto"/>
              <w:right w:val="doubleWave" w:sz="6" w:space="0" w:color="auto"/>
            </w:tcBorders>
            <w:vAlign w:val="center"/>
          </w:tcPr>
          <w:p w:rsidR="00C01C05" w:rsidRPr="004B33AC" w:rsidRDefault="00C01C05" w:rsidP="00E8376B">
            <w:pPr>
              <w:jc w:val="center"/>
              <w:rPr>
                <w:rFonts w:ascii="Arial Narrow" w:hAnsi="Arial Narrow" w:cstheme="minorHAnsi"/>
                <w:sz w:val="18"/>
                <w:szCs w:val="18"/>
              </w:rPr>
            </w:pPr>
            <w:r w:rsidRPr="004B33AC">
              <w:rPr>
                <w:rFonts w:ascii="Arial Narrow" w:hAnsi="Arial Narrow" w:cstheme="minorHAnsi"/>
                <w:sz w:val="18"/>
                <w:szCs w:val="18"/>
              </w:rPr>
              <w:t>Basic Skills Deficient</w:t>
            </w:r>
          </w:p>
        </w:tc>
      </w:tr>
      <w:tr w:rsidR="00C01C05" w:rsidTr="004B33AC">
        <w:trPr>
          <w:trHeight w:val="1200"/>
        </w:trPr>
        <w:tc>
          <w:tcPr>
            <w:tcW w:w="5238" w:type="dxa"/>
            <w:vMerge/>
            <w:tcBorders>
              <w:top w:val="nil"/>
              <w:left w:val="nil"/>
              <w:bottom w:val="nil"/>
              <w:right w:val="nil"/>
            </w:tcBorders>
          </w:tcPr>
          <w:p w:rsidR="00C01C05" w:rsidRDefault="00C01C05" w:rsidP="001052CE">
            <w:pPr>
              <w:rPr>
                <w:rFonts w:cstheme="minorHAnsi"/>
                <w:sz w:val="20"/>
                <w:szCs w:val="20"/>
              </w:rPr>
            </w:pPr>
          </w:p>
        </w:tc>
        <w:tc>
          <w:tcPr>
            <w:tcW w:w="270" w:type="dxa"/>
            <w:tcBorders>
              <w:top w:val="nil"/>
              <w:left w:val="nil"/>
              <w:bottom w:val="nil"/>
              <w:right w:val="doubleWave" w:sz="6" w:space="0" w:color="auto"/>
            </w:tcBorders>
          </w:tcPr>
          <w:p w:rsidR="00C01C05" w:rsidRDefault="00C01C05" w:rsidP="001052CE">
            <w:pPr>
              <w:jc w:val="center"/>
              <w:rPr>
                <w:rFonts w:cstheme="minorHAnsi"/>
                <w:sz w:val="20"/>
                <w:szCs w:val="20"/>
              </w:rPr>
            </w:pPr>
          </w:p>
        </w:tc>
        <w:tc>
          <w:tcPr>
            <w:tcW w:w="2880" w:type="dxa"/>
            <w:vMerge/>
            <w:tcBorders>
              <w:left w:val="doubleWave" w:sz="6" w:space="0" w:color="auto"/>
              <w:bottom w:val="doubleWave" w:sz="6" w:space="0" w:color="auto"/>
            </w:tcBorders>
          </w:tcPr>
          <w:p w:rsidR="00C01C05" w:rsidRPr="00C01C05" w:rsidRDefault="00C01C05" w:rsidP="00C01C05">
            <w:pPr>
              <w:jc w:val="center"/>
              <w:rPr>
                <w:rFonts w:ascii="Arial Narrow" w:hAnsi="Arial Narrow" w:cstheme="minorHAnsi"/>
                <w:sz w:val="20"/>
                <w:szCs w:val="20"/>
              </w:rPr>
            </w:pPr>
          </w:p>
        </w:tc>
        <w:tc>
          <w:tcPr>
            <w:tcW w:w="2340" w:type="dxa"/>
            <w:vMerge/>
            <w:tcBorders>
              <w:bottom w:val="doubleWave" w:sz="6" w:space="0" w:color="auto"/>
              <w:right w:val="doubleWave" w:sz="6" w:space="0" w:color="auto"/>
            </w:tcBorders>
            <w:vAlign w:val="center"/>
          </w:tcPr>
          <w:p w:rsidR="00C01C05" w:rsidRPr="00C01C05" w:rsidRDefault="00C01C05" w:rsidP="001052CE">
            <w:pPr>
              <w:jc w:val="center"/>
              <w:rPr>
                <w:rFonts w:ascii="Arial Narrow" w:hAnsi="Arial Narrow" w:cstheme="minorHAnsi"/>
                <w:sz w:val="20"/>
                <w:szCs w:val="20"/>
              </w:rPr>
            </w:pPr>
          </w:p>
        </w:tc>
      </w:tr>
    </w:tbl>
    <w:p w:rsidR="005062D1" w:rsidRDefault="00C83160" w:rsidP="00570D10">
      <w:r>
        <w:rPr>
          <w:noProof/>
        </w:rPr>
        <w:pict>
          <v:shape id="_x0000_s1047" type="#_x0000_t202" style="position:absolute;margin-left:.3pt;margin-top:9.95pt;width:531.75pt;height:28.1pt;z-index:251711488;mso-position-horizontal-relative:text;mso-position-vertical-relative:text;mso-width-relative:margin;mso-height-relative:margin" fillcolor="#943634 [2405]" strokecolor="#943634 [2405]" strokeweight="2.25pt">
            <v:textbox style="mso-next-textbox:#_x0000_s1047">
              <w:txbxContent>
                <w:p w:rsidR="00283480" w:rsidRPr="006D3163" w:rsidRDefault="00283480" w:rsidP="00D34FD1">
                  <w:pPr>
                    <w:rPr>
                      <w:rFonts w:ascii="Arial Narrow" w:hAnsi="Arial Narrow"/>
                      <w:b/>
                      <w:i/>
                      <w:smallCaps/>
                      <w:shadow/>
                      <w:color w:val="F2DBDB" w:themeColor="accent2" w:themeTint="33"/>
                      <w:sz w:val="36"/>
                      <w:szCs w:val="36"/>
                    </w:rPr>
                  </w:pPr>
                  <w:r>
                    <w:rPr>
                      <w:rFonts w:ascii="Arial Narrow" w:hAnsi="Arial Narrow"/>
                      <w:b/>
                      <w:i/>
                      <w:caps/>
                      <w:shadow/>
                      <w:color w:val="F2DBDB" w:themeColor="accent2" w:themeTint="33"/>
                      <w:sz w:val="36"/>
                      <w:szCs w:val="36"/>
                    </w:rPr>
                    <w:t xml:space="preserve">4. </w:t>
                  </w:r>
                  <w:r w:rsidRPr="006D3163">
                    <w:rPr>
                      <w:rFonts w:ascii="Arial Narrow" w:hAnsi="Arial Narrow"/>
                      <w:b/>
                      <w:i/>
                      <w:caps/>
                      <w:shadow/>
                      <w:color w:val="F2DBDB" w:themeColor="accent2" w:themeTint="33"/>
                      <w:sz w:val="36"/>
                      <w:szCs w:val="36"/>
                    </w:rPr>
                    <w:t>A</w:t>
                  </w:r>
                  <w:r w:rsidRPr="006D3163">
                    <w:rPr>
                      <w:rFonts w:ascii="Arial Narrow" w:hAnsi="Arial Narrow"/>
                      <w:b/>
                      <w:i/>
                      <w:smallCaps/>
                      <w:shadow/>
                      <w:color w:val="F2DBDB" w:themeColor="accent2" w:themeTint="33"/>
                      <w:sz w:val="36"/>
                      <w:szCs w:val="36"/>
                    </w:rPr>
                    <w:t xml:space="preserve">bout </w:t>
                  </w:r>
                  <w:r>
                    <w:rPr>
                      <w:rFonts w:ascii="Arial Narrow" w:hAnsi="Arial Narrow"/>
                      <w:b/>
                      <w:i/>
                      <w:smallCaps/>
                      <w:shadow/>
                      <w:color w:val="F2DBDB" w:themeColor="accent2" w:themeTint="33"/>
                      <w:sz w:val="36"/>
                      <w:szCs w:val="36"/>
                    </w:rPr>
                    <w:t xml:space="preserve">Participation Years           </w:t>
                  </w:r>
                </w:p>
              </w:txbxContent>
            </v:textbox>
          </v:shape>
        </w:pict>
      </w:r>
    </w:p>
    <w:p w:rsidR="009A1D21" w:rsidRDefault="009A1D21" w:rsidP="00570D10"/>
    <w:p w:rsidR="009A1D21" w:rsidRDefault="009A1D21" w:rsidP="00570D10"/>
    <w:p w:rsidR="004B33AC" w:rsidRPr="004B33AC" w:rsidRDefault="004B33AC" w:rsidP="00570D10">
      <w:pPr>
        <w:rPr>
          <w:sz w:val="20"/>
          <w:szCs w:val="20"/>
        </w:rPr>
      </w:pPr>
      <w:proofErr w:type="gramStart"/>
      <w:r w:rsidRPr="004B33AC">
        <w:rPr>
          <w:rFonts w:ascii="Arial Narrow" w:hAnsi="Arial Narrow"/>
          <w:b/>
          <w:color w:val="943634" w:themeColor="accent2" w:themeShade="BF"/>
          <w:u w:val="single"/>
        </w:rPr>
        <w:t>First Participation Year</w:t>
      </w:r>
      <w:r w:rsidR="00E57934">
        <w:t xml:space="preserve">   </w:t>
      </w:r>
      <w:r>
        <w:rPr>
          <w:sz w:val="20"/>
          <w:szCs w:val="20"/>
        </w:rPr>
        <w:t>From the date of first youth service (FYS) to the first anniversary date, inclusive.</w:t>
      </w:r>
      <w:proofErr w:type="gramEnd"/>
      <w:r>
        <w:rPr>
          <w:sz w:val="20"/>
          <w:szCs w:val="20"/>
        </w:rPr>
        <w:t xml:space="preserve">  (In other words, if the date of FYS is 1/13/12, the first participation year ends on 1/13/13.   A post-test given on or before 1/13/13 would count because it is within the first participation year.)</w:t>
      </w:r>
    </w:p>
    <w:p w:rsidR="004B33AC" w:rsidRDefault="00E57934" w:rsidP="005960F7">
      <w:pPr>
        <w:spacing w:after="240" w:line="240" w:lineRule="auto"/>
        <w:rPr>
          <w:rFonts w:cstheme="minorHAnsi"/>
          <w:sz w:val="20"/>
          <w:szCs w:val="20"/>
        </w:rPr>
      </w:pPr>
      <w:r w:rsidRPr="00E57934">
        <w:rPr>
          <w:rFonts w:ascii="Arial Narrow" w:hAnsi="Arial Narrow" w:cstheme="minorHAnsi"/>
          <w:b/>
          <w:color w:val="943634" w:themeColor="accent2" w:themeShade="BF"/>
          <w:u w:val="single"/>
        </w:rPr>
        <w:lastRenderedPageBreak/>
        <w:t>Second Participation Year</w:t>
      </w:r>
      <w:r>
        <w:rPr>
          <w:rFonts w:cstheme="minorHAnsi"/>
          <w:sz w:val="20"/>
          <w:szCs w:val="20"/>
        </w:rPr>
        <w:t xml:space="preserve">    </w:t>
      </w:r>
      <w:r w:rsidRPr="005960F7">
        <w:rPr>
          <w:rFonts w:cstheme="minorHAnsi"/>
          <w:sz w:val="20"/>
          <w:szCs w:val="20"/>
        </w:rPr>
        <w:t>From the day after the first anniversary date to the second anniversary date; youth are only included in the measure if they complete the full year.  (Based on the previous scenario, the second participation year would be 1/14/13 to 1/13/14.  In other words, for the first year, programs actually have a year and a day for the purpose of ensuring the youth increases an EFL.  For the second and third years of participation, youth have one year.)</w:t>
      </w:r>
    </w:p>
    <w:p w:rsidR="00E57934" w:rsidRDefault="00E57934" w:rsidP="005960F7">
      <w:pPr>
        <w:spacing w:after="240" w:line="240" w:lineRule="auto"/>
        <w:rPr>
          <w:rFonts w:cstheme="minorHAnsi"/>
          <w:sz w:val="20"/>
          <w:szCs w:val="20"/>
        </w:rPr>
      </w:pPr>
      <w:r w:rsidRPr="00E57934">
        <w:rPr>
          <w:rFonts w:ascii="Arial Narrow" w:hAnsi="Arial Narrow" w:cstheme="minorHAnsi"/>
          <w:b/>
          <w:color w:val="943634" w:themeColor="accent2" w:themeShade="BF"/>
          <w:u w:val="single"/>
        </w:rPr>
        <w:t xml:space="preserve">Third Participation Year </w:t>
      </w:r>
      <w:r>
        <w:rPr>
          <w:rFonts w:cstheme="minorHAnsi"/>
          <w:sz w:val="20"/>
          <w:szCs w:val="20"/>
        </w:rPr>
        <w:t xml:space="preserve">    From the day after the second anniversary date to the third anniversary date; youth are only included in the measure if they complete the full year.  (Based on the previous scenario, the third participation year would be 1/14/14 to 1/13/15.)</w:t>
      </w:r>
    </w:p>
    <w:p w:rsidR="00E57934" w:rsidRDefault="00E57934" w:rsidP="005960F7">
      <w:pPr>
        <w:spacing w:after="240" w:line="240" w:lineRule="auto"/>
        <w:rPr>
          <w:rFonts w:cstheme="minorHAnsi"/>
          <w:sz w:val="20"/>
          <w:szCs w:val="20"/>
        </w:rPr>
      </w:pPr>
      <w:r w:rsidRPr="00E57934">
        <w:rPr>
          <w:rFonts w:ascii="Arial Narrow" w:hAnsi="Arial Narrow" w:cstheme="minorHAnsi"/>
          <w:b/>
          <w:color w:val="943634" w:themeColor="accent2" w:themeShade="BF"/>
          <w:u w:val="single"/>
        </w:rPr>
        <w:t>After Third Participation Year</w:t>
      </w:r>
      <w:r>
        <w:rPr>
          <w:rFonts w:cstheme="minorHAnsi"/>
          <w:sz w:val="20"/>
          <w:szCs w:val="20"/>
        </w:rPr>
        <w:t xml:space="preserve">    Youth are excluded from the measure.</w:t>
      </w:r>
    </w:p>
    <w:tbl>
      <w:tblPr>
        <w:tblStyle w:val="TableGrid"/>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2088"/>
        <w:gridCol w:w="8640"/>
      </w:tblGrid>
      <w:tr w:rsidR="00E57934" w:rsidTr="00C12A8A">
        <w:tc>
          <w:tcPr>
            <w:tcW w:w="2088" w:type="dxa"/>
          </w:tcPr>
          <w:p w:rsidR="00283480" w:rsidRDefault="00C83160" w:rsidP="00E57934">
            <w:pPr>
              <w:spacing w:after="240"/>
              <w:jc w:val="center"/>
              <w:rPr>
                <w:rFonts w:ascii="Arial Narrow" w:hAnsi="Arial Narrow" w:cstheme="minorHAnsi"/>
                <w:b/>
                <w:i/>
                <w:color w:val="943634" w:themeColor="accent2" w:themeShade="BF"/>
                <w:sz w:val="20"/>
                <w:szCs w:val="20"/>
                <w:u w:val="single"/>
              </w:rPr>
            </w:pPr>
            <w:r w:rsidRPr="00C83160">
              <w:rPr>
                <w:rFonts w:cstheme="minorHAnsi"/>
                <w:noProof/>
                <w:sz w:val="20"/>
                <w:szCs w:val="20"/>
              </w:rPr>
              <w:pict>
                <v:shape id="_x0000_s1133" type="#_x0000_t202" style="position:absolute;left:0;text-align:left;margin-left:-4.2pt;margin-top:-1.15pt;width:114.75pt;height:147.75pt;z-index:251761664">
                  <v:textbox>
                    <w:txbxContent>
                      <w:p w:rsidR="00283480" w:rsidRDefault="00283480" w:rsidP="00C12A8A">
                        <w:pPr>
                          <w:jc w:val="center"/>
                          <w:rPr>
                            <w:rFonts w:ascii="Arial Narrow" w:hAnsi="Arial Narrow"/>
                            <w:b/>
                            <w:color w:val="FFFFFF" w:themeColor="background1"/>
                          </w:rPr>
                        </w:pPr>
                      </w:p>
                      <w:p w:rsidR="00283480" w:rsidRDefault="00283480" w:rsidP="00C12A8A">
                        <w:pPr>
                          <w:jc w:val="center"/>
                          <w:rPr>
                            <w:rFonts w:ascii="Arial Narrow" w:hAnsi="Arial Narrow"/>
                            <w:b/>
                            <w:color w:val="FFFFFF" w:themeColor="background1"/>
                          </w:rPr>
                        </w:pPr>
                      </w:p>
                      <w:p w:rsidR="00283480" w:rsidRPr="00283480" w:rsidRDefault="00283480" w:rsidP="00283480">
                        <w:pPr>
                          <w:jc w:val="center"/>
                          <w:rPr>
                            <w:rFonts w:ascii="Arial Narrow" w:hAnsi="Arial Narrow"/>
                            <w:b/>
                            <w:color w:val="C0504D" w:themeColor="accent2"/>
                            <w:sz w:val="32"/>
                            <w:szCs w:val="32"/>
                          </w:rPr>
                        </w:pPr>
                        <w:r w:rsidRPr="00283480">
                          <w:rPr>
                            <w:rFonts w:ascii="Arial Narrow" w:hAnsi="Arial Narrow"/>
                            <w:b/>
                            <w:color w:val="C0504D" w:themeColor="accent2"/>
                            <w:sz w:val="32"/>
                            <w:szCs w:val="32"/>
                          </w:rPr>
                          <w:t>TIP:</w:t>
                        </w:r>
                      </w:p>
                      <w:p w:rsidR="00283480" w:rsidRPr="00283480" w:rsidRDefault="00283480" w:rsidP="00283480">
                        <w:pPr>
                          <w:jc w:val="center"/>
                          <w:rPr>
                            <w:rFonts w:ascii="Arial Narrow" w:hAnsi="Arial Narrow"/>
                            <w:b/>
                            <w:color w:val="C0504D" w:themeColor="accent2"/>
                          </w:rPr>
                        </w:pPr>
                      </w:p>
                      <w:p w:rsidR="00283480" w:rsidRPr="00283480" w:rsidRDefault="00283480" w:rsidP="00283480">
                        <w:pPr>
                          <w:jc w:val="center"/>
                          <w:rPr>
                            <w:rFonts w:ascii="Arial Narrow" w:hAnsi="Arial Narrow"/>
                            <w:b/>
                            <w:color w:val="C0504D" w:themeColor="accent2"/>
                          </w:rPr>
                        </w:pPr>
                        <w:r w:rsidRPr="00283480">
                          <w:rPr>
                            <w:rFonts w:ascii="Arial Narrow" w:hAnsi="Arial Narrow"/>
                            <w:b/>
                            <w:color w:val="C0504D" w:themeColor="accent2"/>
                          </w:rPr>
                          <w:t>Think in Terms of Anniversaries</w:t>
                        </w:r>
                      </w:p>
                    </w:txbxContent>
                  </v:textbox>
                </v:shape>
              </w:pict>
            </w:r>
          </w:p>
          <w:p w:rsidR="00E57934" w:rsidRPr="00283480" w:rsidRDefault="00E57934" w:rsidP="00E57934">
            <w:pPr>
              <w:spacing w:after="240"/>
              <w:jc w:val="center"/>
              <w:rPr>
                <w:rFonts w:ascii="Arial Narrow" w:hAnsi="Arial Narrow" w:cstheme="minorHAnsi"/>
                <w:b/>
                <w:color w:val="943634" w:themeColor="accent2" w:themeShade="BF"/>
              </w:rPr>
            </w:pPr>
          </w:p>
        </w:tc>
        <w:tc>
          <w:tcPr>
            <w:tcW w:w="8640" w:type="dxa"/>
          </w:tcPr>
          <w:p w:rsidR="00E57934" w:rsidRPr="00E57934" w:rsidRDefault="00E57934" w:rsidP="00E57934">
            <w:pPr>
              <w:pStyle w:val="ListParagraph"/>
              <w:numPr>
                <w:ilvl w:val="0"/>
                <w:numId w:val="23"/>
              </w:numPr>
              <w:spacing w:after="240"/>
              <w:rPr>
                <w:rFonts w:ascii="Arial Narrow" w:hAnsi="Arial Narrow" w:cstheme="minorHAnsi"/>
                <w:sz w:val="18"/>
                <w:szCs w:val="18"/>
              </w:rPr>
            </w:pPr>
            <w:r w:rsidRPr="00E57934">
              <w:rPr>
                <w:rFonts w:ascii="Arial Narrow" w:hAnsi="Arial Narrow" w:cstheme="minorHAnsi"/>
                <w:sz w:val="18"/>
                <w:szCs w:val="18"/>
              </w:rPr>
              <w:t>First anniversary is one year from date of FYS.</w:t>
            </w:r>
          </w:p>
          <w:p w:rsidR="00E57934" w:rsidRPr="00E57934" w:rsidRDefault="00E57934" w:rsidP="00E57934">
            <w:pPr>
              <w:pStyle w:val="ListParagraph"/>
              <w:spacing w:after="240"/>
              <w:rPr>
                <w:rFonts w:ascii="Arial Narrow" w:hAnsi="Arial Narrow" w:cstheme="minorHAnsi"/>
                <w:sz w:val="18"/>
                <w:szCs w:val="18"/>
              </w:rPr>
            </w:pPr>
          </w:p>
          <w:p w:rsidR="00E57934" w:rsidRDefault="00E57934" w:rsidP="00E57934">
            <w:pPr>
              <w:pStyle w:val="ListParagraph"/>
              <w:numPr>
                <w:ilvl w:val="0"/>
                <w:numId w:val="23"/>
              </w:numPr>
              <w:spacing w:after="240"/>
              <w:rPr>
                <w:rFonts w:ascii="Arial Narrow" w:hAnsi="Arial Narrow" w:cstheme="minorHAnsi"/>
                <w:sz w:val="18"/>
                <w:szCs w:val="18"/>
              </w:rPr>
            </w:pPr>
            <w:r w:rsidRPr="00E57934">
              <w:rPr>
                <w:rFonts w:ascii="Arial Narrow" w:hAnsi="Arial Narrow" w:cstheme="minorHAnsi"/>
                <w:sz w:val="18"/>
                <w:szCs w:val="18"/>
              </w:rPr>
              <w:t>Those that exit prior to the first anniversary date are not included in the cohort until the first anniversary of the date of FYS.</w:t>
            </w:r>
          </w:p>
          <w:p w:rsidR="00283480" w:rsidRPr="00E57934" w:rsidRDefault="00283480" w:rsidP="00283480">
            <w:pPr>
              <w:pStyle w:val="ListParagraph"/>
              <w:spacing w:after="240"/>
              <w:rPr>
                <w:rFonts w:ascii="Arial Narrow" w:hAnsi="Arial Narrow" w:cstheme="minorHAnsi"/>
                <w:sz w:val="18"/>
                <w:szCs w:val="18"/>
              </w:rPr>
            </w:pPr>
          </w:p>
          <w:p w:rsidR="00E57934" w:rsidRDefault="00E57934" w:rsidP="00283480">
            <w:pPr>
              <w:pStyle w:val="ListParagraph"/>
              <w:numPr>
                <w:ilvl w:val="0"/>
                <w:numId w:val="23"/>
              </w:numPr>
              <w:spacing w:after="240"/>
              <w:rPr>
                <w:rFonts w:ascii="Arial Narrow" w:hAnsi="Arial Narrow" w:cstheme="minorHAnsi"/>
                <w:sz w:val="18"/>
                <w:szCs w:val="18"/>
              </w:rPr>
            </w:pPr>
            <w:r w:rsidRPr="00E57934">
              <w:rPr>
                <w:rFonts w:ascii="Arial Narrow" w:hAnsi="Arial Narrow" w:cstheme="minorHAnsi"/>
                <w:sz w:val="18"/>
                <w:szCs w:val="18"/>
              </w:rPr>
              <w:t xml:space="preserve">Exiting </w:t>
            </w:r>
            <w:r w:rsidR="00283480">
              <w:rPr>
                <w:rFonts w:ascii="Arial Narrow" w:hAnsi="Arial Narrow" w:cstheme="minorHAnsi"/>
                <w:sz w:val="18"/>
                <w:szCs w:val="18"/>
              </w:rPr>
              <w:t>p</w:t>
            </w:r>
            <w:r w:rsidRPr="00E57934">
              <w:rPr>
                <w:rFonts w:ascii="Arial Narrow" w:hAnsi="Arial Narrow" w:cstheme="minorHAnsi"/>
                <w:sz w:val="18"/>
                <w:szCs w:val="18"/>
              </w:rPr>
              <w:t xml:space="preserve">rior to the second or third anniversary date excludes youth from the measure for the second and third years. In other words, youth who exit </w:t>
            </w:r>
            <w:r w:rsidRPr="00E57934">
              <w:rPr>
                <w:rFonts w:ascii="Arial Narrow" w:hAnsi="Arial Narrow" w:cstheme="minorHAnsi"/>
                <w:i/>
                <w:sz w:val="18"/>
                <w:szCs w:val="18"/>
              </w:rPr>
              <w:t xml:space="preserve">during </w:t>
            </w:r>
            <w:r w:rsidRPr="00E57934">
              <w:rPr>
                <w:rFonts w:ascii="Arial Narrow" w:hAnsi="Arial Narrow" w:cstheme="minorHAnsi"/>
                <w:sz w:val="18"/>
                <w:szCs w:val="18"/>
              </w:rPr>
              <w:t>their second or third year don’t count in the measure</w:t>
            </w:r>
            <w:r w:rsidR="00E7284E">
              <w:rPr>
                <w:rFonts w:ascii="Arial Narrow" w:hAnsi="Arial Narrow" w:cstheme="minorHAnsi"/>
                <w:sz w:val="18"/>
                <w:szCs w:val="18"/>
              </w:rPr>
              <w:t xml:space="preserve"> a second or third time</w:t>
            </w:r>
            <w:r w:rsidR="00283480">
              <w:rPr>
                <w:rFonts w:ascii="Arial Narrow" w:hAnsi="Arial Narrow" w:cstheme="minorHAnsi"/>
                <w:sz w:val="18"/>
                <w:szCs w:val="18"/>
              </w:rPr>
              <w:t>.</w:t>
            </w:r>
          </w:p>
          <w:p w:rsidR="00283480" w:rsidRPr="009A1D21" w:rsidRDefault="00283480" w:rsidP="00283480">
            <w:pPr>
              <w:pStyle w:val="ListParagraph"/>
              <w:spacing w:after="240"/>
              <w:ind w:left="360"/>
              <w:rPr>
                <w:rFonts w:ascii="Arial Narrow" w:hAnsi="Arial Narrow" w:cstheme="minorHAnsi"/>
                <w:sz w:val="18"/>
                <w:szCs w:val="18"/>
              </w:rPr>
            </w:pPr>
          </w:p>
          <w:p w:rsidR="00283480" w:rsidRDefault="00283480" w:rsidP="00E57934">
            <w:pPr>
              <w:pStyle w:val="ListParagraph"/>
              <w:numPr>
                <w:ilvl w:val="0"/>
                <w:numId w:val="23"/>
              </w:numPr>
              <w:spacing w:after="240"/>
              <w:rPr>
                <w:rFonts w:ascii="Arial Narrow" w:hAnsi="Arial Narrow" w:cstheme="minorHAnsi"/>
                <w:sz w:val="18"/>
                <w:szCs w:val="18"/>
              </w:rPr>
            </w:pPr>
            <w:r w:rsidRPr="009A1D21">
              <w:rPr>
                <w:rFonts w:ascii="Arial Narrow" w:hAnsi="Arial Narrow" w:cstheme="minorHAnsi"/>
                <w:sz w:val="18"/>
                <w:szCs w:val="18"/>
              </w:rPr>
              <w:t>Inclusion in the measure (i.e., in the denominator) is always based on the anniversary date being in the reporting cohort.  Those that exit prior to the first anniversary date are not included in the cohort until the first anniversary of the date of FYS.</w:t>
            </w:r>
          </w:p>
          <w:p w:rsidR="00283480" w:rsidRDefault="00283480" w:rsidP="00283480">
            <w:pPr>
              <w:pStyle w:val="ListParagraph"/>
              <w:spacing w:after="240"/>
              <w:rPr>
                <w:rFonts w:ascii="Arial Narrow" w:hAnsi="Arial Narrow" w:cstheme="minorHAnsi"/>
                <w:sz w:val="18"/>
                <w:szCs w:val="18"/>
              </w:rPr>
            </w:pPr>
          </w:p>
          <w:p w:rsidR="00E57934" w:rsidRDefault="00283480" w:rsidP="00283480">
            <w:pPr>
              <w:pStyle w:val="ListParagraph"/>
              <w:numPr>
                <w:ilvl w:val="0"/>
                <w:numId w:val="23"/>
              </w:numPr>
              <w:spacing w:after="240"/>
              <w:rPr>
                <w:rFonts w:cstheme="minorHAnsi"/>
                <w:sz w:val="20"/>
                <w:szCs w:val="20"/>
              </w:rPr>
            </w:pPr>
            <w:r>
              <w:rPr>
                <w:rFonts w:ascii="Arial Narrow" w:hAnsi="Arial Narrow" w:cstheme="minorHAnsi"/>
                <w:sz w:val="18"/>
                <w:szCs w:val="18"/>
              </w:rPr>
              <w:t>There are no Literacy/Numeracy calculations after year three.</w:t>
            </w:r>
          </w:p>
        </w:tc>
      </w:tr>
    </w:tbl>
    <w:p w:rsidR="00E57934" w:rsidRDefault="00C83160" w:rsidP="005960F7">
      <w:pPr>
        <w:spacing w:after="240" w:line="240" w:lineRule="auto"/>
        <w:rPr>
          <w:rFonts w:cstheme="minorHAnsi"/>
          <w:sz w:val="20"/>
          <w:szCs w:val="20"/>
        </w:rPr>
      </w:pPr>
      <w:r w:rsidRPr="00C83160">
        <w:rPr>
          <w:rFonts w:ascii="Arial Narrow" w:hAnsi="Arial Narrow"/>
          <w:b/>
          <w:smallCaps/>
          <w:shadow/>
          <w:noProof/>
          <w:color w:val="800000"/>
          <w:sz w:val="32"/>
          <w:szCs w:val="32"/>
        </w:rPr>
        <w:pict>
          <v:shape id="_x0000_s1042" type="#_x0000_t202" style="position:absolute;margin-left:-4.2pt;margin-top:12.2pt;width:531.75pt;height:28.1pt;z-index:251679744;mso-position-horizontal-relative:text;mso-position-vertical-relative:text;mso-width-relative:margin;mso-height-relative:margin" fillcolor="#943634 [2405]" strokecolor="#943634 [2405]" strokeweight="2.25pt">
            <v:textbox style="mso-next-textbox:#_x0000_s1042">
              <w:txbxContent>
                <w:p w:rsidR="00283480" w:rsidRPr="006D3163" w:rsidRDefault="00283480" w:rsidP="00C52E98">
                  <w:pPr>
                    <w:rPr>
                      <w:rFonts w:ascii="Arial Narrow" w:hAnsi="Arial Narrow"/>
                      <w:b/>
                      <w:i/>
                      <w:smallCaps/>
                      <w:shadow/>
                      <w:color w:val="F2DBDB" w:themeColor="accent2" w:themeTint="33"/>
                      <w:sz w:val="36"/>
                      <w:szCs w:val="36"/>
                    </w:rPr>
                  </w:pPr>
                  <w:r>
                    <w:rPr>
                      <w:rFonts w:ascii="Arial Narrow" w:hAnsi="Arial Narrow"/>
                      <w:b/>
                      <w:i/>
                      <w:caps/>
                      <w:shadow/>
                      <w:color w:val="F2DBDB" w:themeColor="accent2" w:themeTint="33"/>
                      <w:sz w:val="36"/>
                      <w:szCs w:val="36"/>
                    </w:rPr>
                    <w:t xml:space="preserve">5. </w:t>
                  </w:r>
                  <w:r w:rsidRPr="006D3163">
                    <w:rPr>
                      <w:rFonts w:ascii="Arial Narrow" w:hAnsi="Arial Narrow"/>
                      <w:b/>
                      <w:i/>
                      <w:caps/>
                      <w:shadow/>
                      <w:color w:val="F2DBDB" w:themeColor="accent2" w:themeTint="33"/>
                      <w:sz w:val="36"/>
                      <w:szCs w:val="36"/>
                    </w:rPr>
                    <w:t>A</w:t>
                  </w:r>
                  <w:r w:rsidRPr="006D3163">
                    <w:rPr>
                      <w:rFonts w:ascii="Arial Narrow" w:hAnsi="Arial Narrow"/>
                      <w:b/>
                      <w:i/>
                      <w:smallCaps/>
                      <w:shadow/>
                      <w:color w:val="F2DBDB" w:themeColor="accent2" w:themeTint="33"/>
                      <w:sz w:val="36"/>
                      <w:szCs w:val="36"/>
                    </w:rPr>
                    <w:t xml:space="preserve">bout </w:t>
                  </w:r>
                  <w:r>
                    <w:rPr>
                      <w:rFonts w:ascii="Arial Narrow" w:hAnsi="Arial Narrow"/>
                      <w:b/>
                      <w:i/>
                      <w:smallCaps/>
                      <w:shadow/>
                      <w:color w:val="F2DBDB" w:themeColor="accent2" w:themeTint="33"/>
                      <w:sz w:val="36"/>
                      <w:szCs w:val="36"/>
                    </w:rPr>
                    <w:t xml:space="preserve">Lit/Num Reporting           </w:t>
                  </w:r>
                </w:p>
              </w:txbxContent>
            </v:textbox>
          </v:shape>
        </w:pict>
      </w:r>
    </w:p>
    <w:p w:rsidR="00E57934" w:rsidRDefault="00E57934" w:rsidP="005960F7">
      <w:pPr>
        <w:spacing w:after="24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270"/>
        <w:gridCol w:w="2700"/>
        <w:gridCol w:w="2430"/>
        <w:gridCol w:w="2430"/>
      </w:tblGrid>
      <w:tr w:rsidR="003059D9" w:rsidTr="00715F6D">
        <w:tc>
          <w:tcPr>
            <w:tcW w:w="10728" w:type="dxa"/>
            <w:gridSpan w:val="5"/>
          </w:tcPr>
          <w:p w:rsidR="001A6476" w:rsidRDefault="003059D9" w:rsidP="00101C25">
            <w:pPr>
              <w:rPr>
                <w:rFonts w:ascii="Calibri" w:hAnsi="Calibri"/>
                <w:sz w:val="20"/>
                <w:szCs w:val="20"/>
              </w:rPr>
            </w:pPr>
            <w:r>
              <w:rPr>
                <w:rFonts w:ascii="Calibri" w:hAnsi="Calibri"/>
                <w:sz w:val="20"/>
                <w:szCs w:val="20"/>
              </w:rPr>
              <w:t xml:space="preserve">Lit/Num information is captured in the WIA individual record or WIASRD (WIA Standardized Record Data). </w:t>
            </w:r>
            <w:r w:rsidR="00EF68F1">
              <w:rPr>
                <w:rFonts w:ascii="Calibri" w:hAnsi="Calibri"/>
                <w:sz w:val="20"/>
                <w:szCs w:val="20"/>
              </w:rPr>
              <w:t xml:space="preserve"> </w:t>
            </w:r>
            <w:r w:rsidR="00D56635">
              <w:rPr>
                <w:rFonts w:ascii="Calibri" w:hAnsi="Calibri"/>
                <w:sz w:val="20"/>
                <w:szCs w:val="20"/>
              </w:rPr>
              <w:t>The “trigger</w:t>
            </w:r>
            <w:r w:rsidR="00F04709">
              <w:rPr>
                <w:rFonts w:ascii="Calibri" w:hAnsi="Calibri"/>
                <w:sz w:val="20"/>
                <w:szCs w:val="20"/>
              </w:rPr>
              <w:t>s</w:t>
            </w:r>
            <w:r w:rsidR="00D56635">
              <w:rPr>
                <w:rFonts w:ascii="Calibri" w:hAnsi="Calibri"/>
                <w:sz w:val="20"/>
                <w:szCs w:val="20"/>
              </w:rPr>
              <w:t xml:space="preserve">” for inclusion in the Lit/Num measure </w:t>
            </w:r>
            <w:r w:rsidR="00F04709">
              <w:rPr>
                <w:rFonts w:ascii="Calibri" w:hAnsi="Calibri"/>
                <w:sz w:val="20"/>
                <w:szCs w:val="20"/>
              </w:rPr>
              <w:t>is out-of-school youth status first, and then basic skills deficiency</w:t>
            </w:r>
            <w:r w:rsidR="00D16F0A">
              <w:rPr>
                <w:rFonts w:ascii="Calibri" w:hAnsi="Calibri"/>
                <w:sz w:val="20"/>
                <w:szCs w:val="20"/>
              </w:rPr>
              <w:t xml:space="preserve">.  WIASRD #130 is the data element for </w:t>
            </w:r>
            <w:r w:rsidR="00D56635">
              <w:rPr>
                <w:rFonts w:ascii="Calibri" w:hAnsi="Calibri"/>
                <w:i/>
                <w:sz w:val="20"/>
                <w:szCs w:val="20"/>
              </w:rPr>
              <w:t>Basic Skills Deficiency</w:t>
            </w:r>
            <w:r w:rsidR="00D16F0A">
              <w:rPr>
                <w:rFonts w:ascii="Calibri" w:hAnsi="Calibri"/>
                <w:i/>
                <w:sz w:val="20"/>
                <w:szCs w:val="20"/>
              </w:rPr>
              <w:t xml:space="preserve">, </w:t>
            </w:r>
            <w:r w:rsidR="00D16F0A">
              <w:rPr>
                <w:rFonts w:ascii="Calibri" w:hAnsi="Calibri"/>
                <w:sz w:val="20"/>
                <w:szCs w:val="20"/>
              </w:rPr>
              <w:t>which is</w:t>
            </w:r>
            <w:r w:rsidR="00D56635">
              <w:rPr>
                <w:rFonts w:ascii="Calibri" w:hAnsi="Calibri"/>
                <w:sz w:val="20"/>
                <w:szCs w:val="20"/>
              </w:rPr>
              <w:t xml:space="preserve"> coded as a 1 for YES or a 2 for NO.  Local staff may not realize that checking yes for </w:t>
            </w:r>
            <w:r w:rsidR="00D56635">
              <w:rPr>
                <w:rFonts w:ascii="Calibri" w:hAnsi="Calibri"/>
                <w:i/>
                <w:sz w:val="20"/>
                <w:szCs w:val="20"/>
              </w:rPr>
              <w:t xml:space="preserve">Basic Skills Deficiency </w:t>
            </w:r>
            <w:r w:rsidR="00D56635">
              <w:rPr>
                <w:rFonts w:ascii="Calibri" w:hAnsi="Calibri"/>
                <w:sz w:val="20"/>
                <w:szCs w:val="20"/>
              </w:rPr>
              <w:t xml:space="preserve">on an intake form </w:t>
            </w:r>
            <w:r w:rsidR="001A6476">
              <w:rPr>
                <w:rFonts w:ascii="Calibri" w:hAnsi="Calibri"/>
                <w:sz w:val="20"/>
                <w:szCs w:val="20"/>
              </w:rPr>
              <w:t xml:space="preserve">that is later data-entered in their local management information system </w:t>
            </w:r>
            <w:r w:rsidR="00D56635">
              <w:rPr>
                <w:rFonts w:ascii="Calibri" w:hAnsi="Calibri"/>
                <w:i/>
                <w:sz w:val="20"/>
                <w:szCs w:val="20"/>
              </w:rPr>
              <w:t xml:space="preserve">translates into recording 1 for WIASRD Element #130.  </w:t>
            </w:r>
            <w:r w:rsidR="001A6476">
              <w:rPr>
                <w:rFonts w:ascii="Calibri" w:hAnsi="Calibri"/>
                <w:sz w:val="20"/>
                <w:szCs w:val="20"/>
              </w:rPr>
              <w:t>Once th</w:t>
            </w:r>
            <w:r w:rsidR="00D16F0A">
              <w:rPr>
                <w:rFonts w:ascii="Calibri" w:hAnsi="Calibri"/>
                <w:sz w:val="20"/>
                <w:szCs w:val="20"/>
              </w:rPr>
              <w:t>e</w:t>
            </w:r>
            <w:r w:rsidR="001A6476">
              <w:rPr>
                <w:rFonts w:ascii="Calibri" w:hAnsi="Calibri"/>
                <w:sz w:val="20"/>
                <w:szCs w:val="20"/>
              </w:rPr>
              <w:t xml:space="preserve"> trigger</w:t>
            </w:r>
            <w:r w:rsidR="00D16F0A">
              <w:rPr>
                <w:rFonts w:ascii="Calibri" w:hAnsi="Calibri"/>
                <w:sz w:val="20"/>
                <w:szCs w:val="20"/>
              </w:rPr>
              <w:t>s</w:t>
            </w:r>
            <w:r w:rsidR="001A6476">
              <w:rPr>
                <w:rFonts w:ascii="Calibri" w:hAnsi="Calibri"/>
                <w:sz w:val="20"/>
                <w:szCs w:val="20"/>
              </w:rPr>
              <w:t xml:space="preserve"> </w:t>
            </w:r>
            <w:r w:rsidR="00D16F0A">
              <w:rPr>
                <w:rFonts w:ascii="Calibri" w:hAnsi="Calibri"/>
                <w:sz w:val="20"/>
                <w:szCs w:val="20"/>
              </w:rPr>
              <w:t>are</w:t>
            </w:r>
            <w:r w:rsidR="001A6476">
              <w:rPr>
                <w:rFonts w:ascii="Calibri" w:hAnsi="Calibri"/>
                <w:sz w:val="20"/>
                <w:szCs w:val="20"/>
              </w:rPr>
              <w:t>, in effect, “turned on,” the youth will be included in the measure</w:t>
            </w:r>
            <w:r w:rsidR="00776BFE">
              <w:rPr>
                <w:rFonts w:ascii="Calibri" w:hAnsi="Calibri"/>
                <w:sz w:val="20"/>
                <w:szCs w:val="20"/>
              </w:rPr>
              <w:t xml:space="preserve"> except if the pre-test EFL is &gt;6</w:t>
            </w:r>
            <w:r w:rsidR="00C12A8A">
              <w:rPr>
                <w:rFonts w:ascii="Calibri" w:hAnsi="Calibri"/>
                <w:sz w:val="20"/>
                <w:szCs w:val="20"/>
              </w:rPr>
              <w:t xml:space="preserve">.  </w:t>
            </w:r>
            <w:r w:rsidR="001A6476">
              <w:rPr>
                <w:rFonts w:ascii="Calibri" w:hAnsi="Calibri"/>
                <w:sz w:val="20"/>
                <w:szCs w:val="20"/>
              </w:rPr>
              <w:t>Portrayed visually, we have the following scenario:</w:t>
            </w:r>
          </w:p>
          <w:p w:rsidR="0022072B" w:rsidRDefault="001A6476" w:rsidP="00101C25">
            <w:pPr>
              <w:rPr>
                <w:rFonts w:ascii="Calibri" w:hAnsi="Calibri"/>
                <w:sz w:val="20"/>
                <w:szCs w:val="20"/>
              </w:rPr>
            </w:pPr>
            <w:r>
              <w:rPr>
                <w:rFonts w:ascii="Calibri" w:hAnsi="Calibr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1620"/>
              <w:gridCol w:w="3192"/>
              <w:gridCol w:w="2160"/>
            </w:tblGrid>
            <w:tr w:rsidR="0022072B" w:rsidTr="0022072B">
              <w:tc>
                <w:tcPr>
                  <w:tcW w:w="3168" w:type="dxa"/>
                  <w:tcBorders>
                    <w:top w:val="single" w:sz="18" w:space="0" w:color="auto"/>
                    <w:left w:val="single" w:sz="18" w:space="0" w:color="auto"/>
                    <w:bottom w:val="single" w:sz="18" w:space="0" w:color="auto"/>
                    <w:right w:val="single" w:sz="18" w:space="0" w:color="auto"/>
                  </w:tcBorders>
                  <w:vAlign w:val="center"/>
                </w:tcPr>
                <w:p w:rsidR="0022072B" w:rsidRPr="000466DE" w:rsidRDefault="0022072B" w:rsidP="0022072B">
                  <w:pPr>
                    <w:jc w:val="center"/>
                    <w:rPr>
                      <w:sz w:val="18"/>
                      <w:szCs w:val="18"/>
                    </w:rPr>
                  </w:pPr>
                  <w:r w:rsidRPr="000466DE">
                    <w:rPr>
                      <w:sz w:val="18"/>
                      <w:szCs w:val="18"/>
                    </w:rPr>
                    <w:t xml:space="preserve">WIA Youth </w:t>
                  </w:r>
                  <w:r>
                    <w:rPr>
                      <w:sz w:val="18"/>
                      <w:szCs w:val="18"/>
                    </w:rPr>
                    <w:t>Participant</w:t>
                  </w:r>
                </w:p>
              </w:tc>
              <w:tc>
                <w:tcPr>
                  <w:tcW w:w="1620" w:type="dxa"/>
                  <w:tcBorders>
                    <w:left w:val="single" w:sz="18" w:space="0" w:color="auto"/>
                  </w:tcBorders>
                </w:tcPr>
                <w:p w:rsidR="0022072B" w:rsidRDefault="00C83160" w:rsidP="0022072B">
                  <w:r>
                    <w:rPr>
                      <w:noProof/>
                    </w:rPr>
                    <w:pict>
                      <v:shapetype id="_x0000_t32" coordsize="21600,21600" o:spt="32" o:oned="t" path="m,l21600,21600e" filled="f">
                        <v:path arrowok="t" fillok="f" o:connecttype="none"/>
                        <o:lock v:ext="edit" shapetype="t"/>
                      </v:shapetype>
                      <v:shape id="_x0000_s1116" type="#_x0000_t32" style="position:absolute;margin-left:-3.9pt;margin-top:12pt;width:131.25pt;height:18.05pt;z-index:251745280;mso-position-horizontal-relative:text;mso-position-vertical-relative:text" o:connectortype="straight">
                        <v:stroke endarrow="block"/>
                      </v:shape>
                    </w:pict>
                  </w:r>
                  <w:r w:rsidR="0022072B">
                    <w:t xml:space="preserve">              NO</w:t>
                  </w:r>
                </w:p>
              </w:tc>
              <w:tc>
                <w:tcPr>
                  <w:tcW w:w="3192" w:type="dxa"/>
                </w:tcPr>
                <w:p w:rsidR="0022072B" w:rsidRDefault="0022072B" w:rsidP="0022072B"/>
              </w:tc>
              <w:tc>
                <w:tcPr>
                  <w:tcW w:w="2160" w:type="dxa"/>
                  <w:vMerge w:val="restart"/>
                </w:tcPr>
                <w:p w:rsidR="0022072B" w:rsidRDefault="0022072B" w:rsidP="0022072B"/>
                <w:p w:rsidR="0022072B" w:rsidRDefault="0022072B" w:rsidP="0022072B"/>
                <w:p w:rsidR="0022072B" w:rsidRDefault="0022072B" w:rsidP="0022072B">
                  <w:pPr>
                    <w:rPr>
                      <w:sz w:val="20"/>
                      <w:szCs w:val="20"/>
                    </w:rPr>
                  </w:pPr>
                  <w:r>
                    <w:rPr>
                      <w:sz w:val="20"/>
                      <w:szCs w:val="20"/>
                    </w:rPr>
                    <w:t>As can be seen from this simplified visual, local staff must be sure to:</w:t>
                  </w:r>
                </w:p>
                <w:p w:rsidR="0022072B" w:rsidRDefault="0022072B" w:rsidP="0022072B">
                  <w:pPr>
                    <w:rPr>
                      <w:sz w:val="20"/>
                      <w:szCs w:val="20"/>
                    </w:rPr>
                  </w:pPr>
                </w:p>
                <w:p w:rsidR="0022072B" w:rsidRDefault="0022072B" w:rsidP="0022072B">
                  <w:pPr>
                    <w:pStyle w:val="ListParagraph"/>
                    <w:numPr>
                      <w:ilvl w:val="0"/>
                      <w:numId w:val="22"/>
                    </w:numPr>
                    <w:rPr>
                      <w:sz w:val="20"/>
                      <w:szCs w:val="20"/>
                    </w:rPr>
                  </w:pPr>
                  <w:r>
                    <w:rPr>
                      <w:sz w:val="20"/>
                      <w:szCs w:val="20"/>
                    </w:rPr>
                    <w:t>Pre-test appropriate youth, and</w:t>
                  </w:r>
                </w:p>
                <w:p w:rsidR="0022072B" w:rsidRDefault="0022072B" w:rsidP="0022072B">
                  <w:pPr>
                    <w:pStyle w:val="ListParagraph"/>
                    <w:ind w:left="750"/>
                    <w:rPr>
                      <w:sz w:val="20"/>
                      <w:szCs w:val="20"/>
                    </w:rPr>
                  </w:pPr>
                </w:p>
                <w:p w:rsidR="0022072B" w:rsidRPr="000F6D6A" w:rsidRDefault="0022072B" w:rsidP="0022072B">
                  <w:pPr>
                    <w:pStyle w:val="ListParagraph"/>
                    <w:numPr>
                      <w:ilvl w:val="0"/>
                      <w:numId w:val="22"/>
                    </w:numPr>
                    <w:rPr>
                      <w:sz w:val="20"/>
                      <w:szCs w:val="20"/>
                    </w:rPr>
                  </w:pPr>
                  <w:r>
                    <w:rPr>
                      <w:sz w:val="20"/>
                      <w:szCs w:val="20"/>
                    </w:rPr>
                    <w:t>Record the pre-test results.</w:t>
                  </w:r>
                </w:p>
              </w:tc>
            </w:tr>
            <w:tr w:rsidR="0022072B" w:rsidTr="0022072B">
              <w:tc>
                <w:tcPr>
                  <w:tcW w:w="3168" w:type="dxa"/>
                  <w:vMerge w:val="restart"/>
                  <w:tcBorders>
                    <w:top w:val="single" w:sz="18" w:space="0" w:color="auto"/>
                  </w:tcBorders>
                  <w:vAlign w:val="center"/>
                </w:tcPr>
                <w:p w:rsidR="0022072B" w:rsidRDefault="00C83160" w:rsidP="0022072B">
                  <w:pPr>
                    <w:spacing w:before="240"/>
                  </w:pPr>
                  <w:r>
                    <w:rPr>
                      <w:noProof/>
                    </w:rPr>
                    <w:pict>
                      <v:shape id="_x0000_s1120" type="#_x0000_t32" style="position:absolute;margin-left:85.4pt;margin-top:0;width:.35pt;height:25.05pt;z-index:251749376;mso-position-horizontal-relative:text;mso-position-vertical-relative:text" o:connectortype="straight">
                        <v:stroke endarrow="block"/>
                      </v:shape>
                    </w:pict>
                  </w:r>
                  <w:r w:rsidR="0022072B">
                    <w:t xml:space="preserve">                          YES</w:t>
                  </w:r>
                </w:p>
              </w:tc>
              <w:tc>
                <w:tcPr>
                  <w:tcW w:w="1620" w:type="dxa"/>
                </w:tcPr>
                <w:p w:rsidR="0022072B" w:rsidRDefault="0022072B" w:rsidP="0022072B">
                  <w:pPr>
                    <w:jc w:val="right"/>
                  </w:pPr>
                </w:p>
              </w:tc>
              <w:tc>
                <w:tcPr>
                  <w:tcW w:w="3192" w:type="dxa"/>
                  <w:vMerge w:val="restart"/>
                </w:tcPr>
                <w:p w:rsidR="0022072B" w:rsidRDefault="00C83160" w:rsidP="0022072B">
                  <w:r>
                    <w:rPr>
                      <w:noProof/>
                    </w:rPr>
                    <w:pict>
                      <v:oval id="_x0000_s1121" style="position:absolute;margin-left:46.35pt;margin-top:5.75pt;width:100.5pt;height:52.9pt;z-index:251750400;mso-position-horizontal-relative:text;mso-position-vertical-relative:text">
                        <v:textbox style="mso-next-textbox:#_x0000_s1121">
                          <w:txbxContent>
                            <w:p w:rsidR="00283480" w:rsidRPr="008D58C6" w:rsidRDefault="00283480" w:rsidP="0022072B">
                              <w:pPr>
                                <w:jc w:val="center"/>
                                <w:rPr>
                                  <w:rFonts w:ascii="Arial Narrow" w:hAnsi="Arial Narrow"/>
                                  <w:sz w:val="20"/>
                                  <w:szCs w:val="20"/>
                                </w:rPr>
                              </w:pPr>
                              <w:r w:rsidRPr="008D58C6">
                                <w:rPr>
                                  <w:rFonts w:ascii="Arial Narrow" w:hAnsi="Arial Narrow"/>
                                  <w:sz w:val="20"/>
                                  <w:szCs w:val="20"/>
                                </w:rPr>
                                <w:t>Not included in L/N Measure</w:t>
                              </w:r>
                            </w:p>
                          </w:txbxContent>
                        </v:textbox>
                      </v:oval>
                    </w:pict>
                  </w:r>
                </w:p>
              </w:tc>
              <w:tc>
                <w:tcPr>
                  <w:tcW w:w="2160" w:type="dxa"/>
                  <w:vMerge/>
                </w:tcPr>
                <w:p w:rsidR="0022072B" w:rsidRDefault="0022072B" w:rsidP="0022072B"/>
              </w:tc>
            </w:tr>
            <w:tr w:rsidR="0022072B" w:rsidTr="0022072B">
              <w:tc>
                <w:tcPr>
                  <w:tcW w:w="3168" w:type="dxa"/>
                  <w:vMerge/>
                  <w:tcBorders>
                    <w:bottom w:val="single" w:sz="18" w:space="0" w:color="auto"/>
                  </w:tcBorders>
                  <w:vAlign w:val="center"/>
                </w:tcPr>
                <w:p w:rsidR="0022072B" w:rsidRDefault="0022072B" w:rsidP="0022072B"/>
              </w:tc>
              <w:tc>
                <w:tcPr>
                  <w:tcW w:w="1620" w:type="dxa"/>
                </w:tcPr>
                <w:p w:rsidR="0022072B" w:rsidRDefault="0022072B" w:rsidP="0022072B">
                  <w:pPr>
                    <w:jc w:val="right"/>
                  </w:pPr>
                </w:p>
              </w:tc>
              <w:tc>
                <w:tcPr>
                  <w:tcW w:w="3192" w:type="dxa"/>
                  <w:vMerge/>
                </w:tcPr>
                <w:p w:rsidR="0022072B" w:rsidRDefault="0022072B" w:rsidP="0022072B"/>
              </w:tc>
              <w:tc>
                <w:tcPr>
                  <w:tcW w:w="2160" w:type="dxa"/>
                  <w:vMerge/>
                </w:tcPr>
                <w:p w:rsidR="0022072B" w:rsidRDefault="0022072B" w:rsidP="0022072B"/>
              </w:tc>
            </w:tr>
            <w:tr w:rsidR="0022072B" w:rsidTr="0022072B">
              <w:tc>
                <w:tcPr>
                  <w:tcW w:w="3168" w:type="dxa"/>
                  <w:tcBorders>
                    <w:top w:val="single" w:sz="18" w:space="0" w:color="auto"/>
                    <w:left w:val="single" w:sz="18" w:space="0" w:color="auto"/>
                    <w:bottom w:val="single" w:sz="18" w:space="0" w:color="auto"/>
                    <w:right w:val="single" w:sz="18" w:space="0" w:color="auto"/>
                  </w:tcBorders>
                  <w:vAlign w:val="center"/>
                </w:tcPr>
                <w:p w:rsidR="0022072B" w:rsidRDefault="0022072B" w:rsidP="0022072B">
                  <w:pPr>
                    <w:jc w:val="center"/>
                    <w:rPr>
                      <w:sz w:val="18"/>
                      <w:szCs w:val="18"/>
                    </w:rPr>
                  </w:pPr>
                  <w:r w:rsidRPr="000466DE">
                    <w:rPr>
                      <w:sz w:val="18"/>
                      <w:szCs w:val="18"/>
                    </w:rPr>
                    <w:t xml:space="preserve">Youth is </w:t>
                  </w:r>
                  <w:r>
                    <w:rPr>
                      <w:sz w:val="18"/>
                      <w:szCs w:val="18"/>
                    </w:rPr>
                    <w:t xml:space="preserve">“out-of-school youth” </w:t>
                  </w:r>
                </w:p>
                <w:p w:rsidR="0022072B" w:rsidRPr="000466DE" w:rsidRDefault="0022072B" w:rsidP="0022072B">
                  <w:pPr>
                    <w:jc w:val="center"/>
                    <w:rPr>
                      <w:sz w:val="18"/>
                      <w:szCs w:val="18"/>
                    </w:rPr>
                  </w:pPr>
                  <w:r>
                    <w:rPr>
                      <w:sz w:val="18"/>
                      <w:szCs w:val="18"/>
                    </w:rPr>
                    <w:t>(see page 1)</w:t>
                  </w:r>
                </w:p>
              </w:tc>
              <w:tc>
                <w:tcPr>
                  <w:tcW w:w="1620" w:type="dxa"/>
                  <w:tcBorders>
                    <w:left w:val="single" w:sz="18" w:space="0" w:color="auto"/>
                  </w:tcBorders>
                </w:tcPr>
                <w:p w:rsidR="0022072B" w:rsidRDefault="00C83160" w:rsidP="0022072B">
                  <w:r>
                    <w:rPr>
                      <w:noProof/>
                    </w:rPr>
                    <w:pict>
                      <v:shape id="_x0000_s1118" type="#_x0000_t32" style="position:absolute;margin-left:-3.9pt;margin-top:13.3pt;width:131.25pt;height:.05pt;z-index:251747328;mso-position-horizontal-relative:text;mso-position-vertical-relative:text" o:connectortype="straight">
                        <v:stroke endarrow="block"/>
                      </v:shape>
                    </w:pict>
                  </w:r>
                  <w:r w:rsidR="0022072B">
                    <w:t xml:space="preserve">                    NO          </w:t>
                  </w: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top w:val="single" w:sz="18" w:space="0" w:color="auto"/>
                  </w:tcBorders>
                  <w:vAlign w:val="center"/>
                </w:tcPr>
                <w:p w:rsidR="0022072B" w:rsidRDefault="00C83160" w:rsidP="0022072B">
                  <w:pPr>
                    <w:jc w:val="center"/>
                  </w:pPr>
                  <w:r>
                    <w:rPr>
                      <w:noProof/>
                    </w:rPr>
                    <w:pict>
                      <v:shape id="_x0000_s1117" type="#_x0000_t32" style="position:absolute;left:0;text-align:left;margin-left:84.4pt;margin-top:1.15pt;width:.45pt;height:25.8pt;z-index:251746304;mso-position-horizontal-relative:text;mso-position-vertical-relative:text" o:connectortype="straight">
                        <v:stroke endarrow="block"/>
                      </v:shape>
                    </w:pict>
                  </w:r>
                </w:p>
              </w:tc>
              <w:tc>
                <w:tcPr>
                  <w:tcW w:w="1620" w:type="dxa"/>
                </w:tcPr>
                <w:p w:rsidR="0022072B" w:rsidRDefault="00C83160" w:rsidP="0022072B">
                  <w:pPr>
                    <w:jc w:val="right"/>
                  </w:pPr>
                  <w:r>
                    <w:rPr>
                      <w:noProof/>
                    </w:rPr>
                    <w:pict>
                      <v:shape id="_x0000_s1119" type="#_x0000_t32" style="position:absolute;left:0;text-align:left;margin-left:-3.9pt;margin-top:5.3pt;width:137.75pt;height:35.8pt;flip:y;z-index:251748352;mso-position-horizontal-relative:text;mso-position-vertical-relative:text" o:connectortype="straight">
                        <v:stroke endarrow="block"/>
                      </v:shape>
                    </w:pict>
                  </w:r>
                </w:p>
              </w:tc>
              <w:tc>
                <w:tcPr>
                  <w:tcW w:w="3192" w:type="dxa"/>
                </w:tcPr>
                <w:p w:rsidR="0022072B" w:rsidRDefault="00C83160" w:rsidP="0022072B">
                  <w:r>
                    <w:rPr>
                      <w:noProof/>
                    </w:rPr>
                    <w:pict>
                      <v:shape id="_x0000_s1122" type="#_x0000_t32" style="position:absolute;margin-left:105.7pt;margin-top:5.3pt;width:0;height:193.55pt;flip:y;z-index:251751424;mso-position-horizontal-relative:text;mso-position-vertical-relative:text" o:connectortype="straight">
                        <v:stroke endarrow="block"/>
                      </v:shape>
                    </w:pict>
                  </w:r>
                </w:p>
              </w:tc>
              <w:tc>
                <w:tcPr>
                  <w:tcW w:w="2160" w:type="dxa"/>
                  <w:vMerge/>
                </w:tcPr>
                <w:p w:rsidR="0022072B" w:rsidRDefault="0022072B" w:rsidP="0022072B"/>
              </w:tc>
            </w:tr>
            <w:tr w:rsidR="0022072B" w:rsidTr="0022072B">
              <w:tc>
                <w:tcPr>
                  <w:tcW w:w="3168" w:type="dxa"/>
                  <w:tcBorders>
                    <w:bottom w:val="single" w:sz="18" w:space="0" w:color="auto"/>
                  </w:tcBorders>
                  <w:vAlign w:val="center"/>
                </w:tcPr>
                <w:p w:rsidR="0022072B" w:rsidRDefault="0022072B" w:rsidP="0022072B">
                  <w:r>
                    <w:t xml:space="preserve">                         YES</w:t>
                  </w:r>
                </w:p>
              </w:tc>
              <w:tc>
                <w:tcPr>
                  <w:tcW w:w="1620" w:type="dxa"/>
                </w:tcPr>
                <w:p w:rsidR="0022072B" w:rsidRDefault="0022072B" w:rsidP="0022072B">
                  <w:pPr>
                    <w:jc w:val="right"/>
                  </w:pP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top w:val="single" w:sz="18" w:space="0" w:color="auto"/>
                    <w:left w:val="single" w:sz="18" w:space="0" w:color="auto"/>
                    <w:bottom w:val="single" w:sz="18" w:space="0" w:color="auto"/>
                    <w:right w:val="single" w:sz="18" w:space="0" w:color="auto"/>
                  </w:tcBorders>
                  <w:vAlign w:val="center"/>
                </w:tcPr>
                <w:p w:rsidR="0022072B" w:rsidRPr="000466DE" w:rsidRDefault="0022072B" w:rsidP="0022072B">
                  <w:pPr>
                    <w:jc w:val="center"/>
                    <w:rPr>
                      <w:sz w:val="18"/>
                      <w:szCs w:val="18"/>
                    </w:rPr>
                  </w:pPr>
                  <w:r>
                    <w:rPr>
                      <w:sz w:val="18"/>
                      <w:szCs w:val="18"/>
                    </w:rPr>
                    <w:t>Youth is BSD per WIASRD #130</w:t>
                  </w:r>
                </w:p>
              </w:tc>
              <w:tc>
                <w:tcPr>
                  <w:tcW w:w="1620" w:type="dxa"/>
                  <w:tcBorders>
                    <w:left w:val="single" w:sz="18" w:space="0" w:color="auto"/>
                  </w:tcBorders>
                </w:tcPr>
                <w:p w:rsidR="0022072B" w:rsidRDefault="0022072B" w:rsidP="0022072B">
                  <w:pPr>
                    <w:jc w:val="right"/>
                  </w:pPr>
                  <w:r>
                    <w:t xml:space="preserve"> NO</w:t>
                  </w: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top w:val="single" w:sz="18" w:space="0" w:color="auto"/>
                  </w:tcBorders>
                  <w:vAlign w:val="center"/>
                </w:tcPr>
                <w:p w:rsidR="0022072B" w:rsidRDefault="00C83160" w:rsidP="0022072B">
                  <w:pPr>
                    <w:jc w:val="center"/>
                  </w:pPr>
                  <w:r>
                    <w:rPr>
                      <w:noProof/>
                    </w:rPr>
                    <w:pict>
                      <v:shape id="_x0000_s1129" type="#_x0000_t32" style="position:absolute;left:0;text-align:left;margin-left:83.8pt;margin-top:2.1pt;width:.45pt;height:25.95pt;z-index:251758592;mso-position-horizontal-relative:text;mso-position-vertical-relative:text" o:connectortype="straight">
                        <v:stroke endarrow="block"/>
                      </v:shape>
                    </w:pict>
                  </w:r>
                </w:p>
              </w:tc>
              <w:tc>
                <w:tcPr>
                  <w:tcW w:w="1620" w:type="dxa"/>
                </w:tcPr>
                <w:p w:rsidR="0022072B" w:rsidRDefault="0022072B" w:rsidP="0022072B">
                  <w:pPr>
                    <w:jc w:val="right"/>
                  </w:pP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bottom w:val="single" w:sz="18" w:space="0" w:color="auto"/>
                  </w:tcBorders>
                  <w:vAlign w:val="center"/>
                </w:tcPr>
                <w:p w:rsidR="0022072B" w:rsidRDefault="0022072B" w:rsidP="0022072B">
                  <w:r>
                    <w:t xml:space="preserve">                         YES</w:t>
                  </w:r>
                </w:p>
              </w:tc>
              <w:tc>
                <w:tcPr>
                  <w:tcW w:w="1620" w:type="dxa"/>
                </w:tcPr>
                <w:p w:rsidR="0022072B" w:rsidRDefault="00C83160" w:rsidP="0022072B">
                  <w:r>
                    <w:rPr>
                      <w:noProof/>
                    </w:rPr>
                    <w:pict>
                      <v:oval id="_x0000_s1123" style="position:absolute;margin-left:55.6pt;margin-top:9.6pt;width:113pt;height:68.6pt;z-index:251752448;mso-position-horizontal-relative:text;mso-position-vertical-relative:text" fillcolor="yellow">
                        <v:textbox style="mso-next-textbox:#_x0000_s1123">
                          <w:txbxContent>
                            <w:p w:rsidR="00283480" w:rsidRPr="008D58C6" w:rsidRDefault="00283480" w:rsidP="0022072B">
                              <w:pPr>
                                <w:jc w:val="center"/>
                                <w:rPr>
                                  <w:rFonts w:ascii="Arial Narrow" w:hAnsi="Arial Narrow"/>
                                  <w:b/>
                                </w:rPr>
                              </w:pPr>
                              <w:r w:rsidRPr="008D58C6">
                                <w:rPr>
                                  <w:rFonts w:ascii="Arial Narrow" w:hAnsi="Arial Narrow"/>
                                  <w:b/>
                                </w:rPr>
                                <w:t>In Denominator of L/N Measure</w:t>
                              </w:r>
                            </w:p>
                          </w:txbxContent>
                        </v:textbox>
                      </v:oval>
                    </w:pict>
                  </w:r>
                  <w:r w:rsidR="0022072B">
                    <w:t>NO</w:t>
                  </w: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top w:val="single" w:sz="18" w:space="0" w:color="auto"/>
                    <w:left w:val="single" w:sz="18" w:space="0" w:color="auto"/>
                    <w:bottom w:val="single" w:sz="18" w:space="0" w:color="auto"/>
                    <w:right w:val="single" w:sz="18" w:space="0" w:color="auto"/>
                  </w:tcBorders>
                  <w:vAlign w:val="center"/>
                </w:tcPr>
                <w:p w:rsidR="0022072B" w:rsidRPr="000466DE" w:rsidRDefault="0022072B" w:rsidP="0022072B">
                  <w:pPr>
                    <w:jc w:val="center"/>
                    <w:rPr>
                      <w:sz w:val="18"/>
                      <w:szCs w:val="18"/>
                    </w:rPr>
                  </w:pPr>
                  <w:r w:rsidRPr="000466DE">
                    <w:rPr>
                      <w:sz w:val="18"/>
                      <w:szCs w:val="18"/>
                    </w:rPr>
                    <w:t>Pre-Test Given to Establish EFL</w:t>
                  </w:r>
                </w:p>
              </w:tc>
              <w:tc>
                <w:tcPr>
                  <w:tcW w:w="1620" w:type="dxa"/>
                  <w:tcBorders>
                    <w:left w:val="single" w:sz="18" w:space="0" w:color="auto"/>
                  </w:tcBorders>
                </w:tcPr>
                <w:p w:rsidR="0022072B" w:rsidRDefault="00C83160" w:rsidP="0022072B">
                  <w:pPr>
                    <w:jc w:val="right"/>
                  </w:pPr>
                  <w:r>
                    <w:rPr>
                      <w:noProof/>
                    </w:rPr>
                    <w:pict>
                      <v:shape id="_x0000_s1124" type="#_x0000_t32" style="position:absolute;left:0;text-align:left;margin-left:-3.9pt;margin-top:6.55pt;width:59.5pt;height:0;z-index:251753472;mso-position-horizontal-relative:text;mso-position-vertical-relative:text" o:connectortype="straight">
                        <v:stroke endarrow="block"/>
                      </v:shape>
                    </w:pict>
                  </w: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top w:val="single" w:sz="18" w:space="0" w:color="auto"/>
                  </w:tcBorders>
                  <w:vAlign w:val="center"/>
                </w:tcPr>
                <w:p w:rsidR="0022072B" w:rsidRDefault="00C83160" w:rsidP="0022072B">
                  <w:pPr>
                    <w:jc w:val="center"/>
                  </w:pPr>
                  <w:r w:rsidRPr="00C83160">
                    <w:rPr>
                      <w:noProof/>
                      <w:sz w:val="18"/>
                      <w:szCs w:val="18"/>
                    </w:rPr>
                    <w:pict>
                      <v:shape id="_x0000_s1126" type="#_x0000_t32" style="position:absolute;left:0;text-align:left;margin-left:85.6pt;margin-top:.85pt;width:.8pt;height:28.35pt;z-index:251755520;mso-position-horizontal-relative:text;mso-position-vertical-relative:text" o:connectortype="straight">
                        <v:stroke endarrow="block"/>
                      </v:shape>
                    </w:pict>
                  </w:r>
                </w:p>
              </w:tc>
              <w:tc>
                <w:tcPr>
                  <w:tcW w:w="1620" w:type="dxa"/>
                </w:tcPr>
                <w:p w:rsidR="0022072B" w:rsidRDefault="0022072B" w:rsidP="0022072B">
                  <w:pPr>
                    <w:jc w:val="right"/>
                  </w:pP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bottom w:val="single" w:sz="18" w:space="0" w:color="auto"/>
                  </w:tcBorders>
                  <w:vAlign w:val="center"/>
                </w:tcPr>
                <w:p w:rsidR="0022072B" w:rsidRDefault="0022072B" w:rsidP="0022072B">
                  <w:pPr>
                    <w:jc w:val="center"/>
                  </w:pPr>
                  <w:r>
                    <w:t>YES</w:t>
                  </w:r>
                </w:p>
              </w:tc>
              <w:tc>
                <w:tcPr>
                  <w:tcW w:w="1620" w:type="dxa"/>
                </w:tcPr>
                <w:p w:rsidR="0022072B" w:rsidRDefault="00C83160" w:rsidP="0022072B">
                  <w:pPr>
                    <w:jc w:val="right"/>
                  </w:pPr>
                  <w:r>
                    <w:rPr>
                      <w:noProof/>
                    </w:rPr>
                    <w:pict>
                      <v:shape id="_x0000_s1125" type="#_x0000_t32" style="position:absolute;left:0;text-align:left;margin-left:-3.9pt;margin-top:5.35pt;width:54.5pt;height:10.45pt;flip:y;z-index:251754496;mso-position-horizontal-relative:text;mso-position-vertical-relative:text" o:connectortype="straight">
                        <v:stroke endarrow="block"/>
                      </v:shape>
                    </w:pict>
                  </w: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top w:val="single" w:sz="18" w:space="0" w:color="auto"/>
                    <w:left w:val="single" w:sz="18" w:space="0" w:color="auto"/>
                    <w:bottom w:val="single" w:sz="18" w:space="0" w:color="auto"/>
                    <w:right w:val="single" w:sz="18" w:space="0" w:color="auto"/>
                  </w:tcBorders>
                  <w:vAlign w:val="center"/>
                </w:tcPr>
                <w:p w:rsidR="0022072B" w:rsidRPr="000466DE" w:rsidRDefault="0022072B" w:rsidP="0022072B">
                  <w:pPr>
                    <w:jc w:val="center"/>
                    <w:rPr>
                      <w:sz w:val="18"/>
                      <w:szCs w:val="18"/>
                    </w:rPr>
                  </w:pPr>
                  <w:r w:rsidRPr="000466DE">
                    <w:rPr>
                      <w:sz w:val="18"/>
                      <w:szCs w:val="18"/>
                    </w:rPr>
                    <w:t>EFL is Recorded</w:t>
                  </w:r>
                </w:p>
              </w:tc>
              <w:tc>
                <w:tcPr>
                  <w:tcW w:w="1620" w:type="dxa"/>
                  <w:tcBorders>
                    <w:left w:val="single" w:sz="18" w:space="0" w:color="auto"/>
                  </w:tcBorders>
                </w:tcPr>
                <w:p w:rsidR="0022072B" w:rsidRDefault="0022072B" w:rsidP="0022072B">
                  <w:r>
                    <w:t>NO</w:t>
                  </w: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top w:val="single" w:sz="18" w:space="0" w:color="auto"/>
                  </w:tcBorders>
                  <w:vAlign w:val="center"/>
                </w:tcPr>
                <w:p w:rsidR="0022072B" w:rsidRDefault="00C83160" w:rsidP="0022072B">
                  <w:pPr>
                    <w:jc w:val="center"/>
                  </w:pPr>
                  <w:r>
                    <w:rPr>
                      <w:noProof/>
                    </w:rPr>
                    <w:pict>
                      <v:shape id="_x0000_s1127" type="#_x0000_t32" style="position:absolute;left:0;text-align:left;margin-left:85.6pt;margin-top:2.05pt;width:.65pt;height:25.1pt;z-index:251756544;mso-position-horizontal-relative:text;mso-position-vertical-relative:text" o:connectortype="straight">
                        <v:stroke endarrow="block"/>
                      </v:shape>
                    </w:pict>
                  </w:r>
                </w:p>
              </w:tc>
              <w:tc>
                <w:tcPr>
                  <w:tcW w:w="1620" w:type="dxa"/>
                </w:tcPr>
                <w:p w:rsidR="0022072B" w:rsidRDefault="00C83160" w:rsidP="0022072B">
                  <w:pPr>
                    <w:jc w:val="right"/>
                  </w:pPr>
                  <w:r>
                    <w:rPr>
                      <w:noProof/>
                    </w:rPr>
                    <w:pict>
                      <v:shape id="_x0000_s1130" type="#_x0000_t32" style="position:absolute;left:0;text-align:left;margin-left:-3.9pt;margin-top:-2.4pt;width:66.5pt;height:35.8pt;flip:y;z-index:251759616;mso-position-horizontal-relative:text;mso-position-vertical-relative:text" o:connectortype="straight">
                        <v:stroke endarrow="block"/>
                      </v:shape>
                    </w:pict>
                  </w: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bottom w:val="single" w:sz="18" w:space="0" w:color="auto"/>
                  </w:tcBorders>
                  <w:vAlign w:val="center"/>
                </w:tcPr>
                <w:p w:rsidR="0022072B" w:rsidRDefault="0022072B" w:rsidP="0022072B">
                  <w:r>
                    <w:t xml:space="preserve">                          YES</w:t>
                  </w:r>
                </w:p>
              </w:tc>
              <w:tc>
                <w:tcPr>
                  <w:tcW w:w="1620" w:type="dxa"/>
                </w:tcPr>
                <w:p w:rsidR="0022072B" w:rsidRDefault="0022072B" w:rsidP="0022072B">
                  <w:pPr>
                    <w:jc w:val="center"/>
                  </w:pPr>
                  <w:r>
                    <w:t xml:space="preserve">  NO</w:t>
                  </w:r>
                </w:p>
              </w:tc>
              <w:tc>
                <w:tcPr>
                  <w:tcW w:w="3192" w:type="dxa"/>
                </w:tcPr>
                <w:p w:rsidR="0022072B" w:rsidRDefault="0022072B" w:rsidP="0022072B"/>
              </w:tc>
              <w:tc>
                <w:tcPr>
                  <w:tcW w:w="2160" w:type="dxa"/>
                  <w:vMerge/>
                </w:tcPr>
                <w:p w:rsidR="0022072B" w:rsidRDefault="0022072B" w:rsidP="0022072B"/>
              </w:tc>
            </w:tr>
            <w:tr w:rsidR="0022072B" w:rsidTr="0022072B">
              <w:tc>
                <w:tcPr>
                  <w:tcW w:w="3168" w:type="dxa"/>
                  <w:tcBorders>
                    <w:top w:val="single" w:sz="18" w:space="0" w:color="auto"/>
                    <w:left w:val="single" w:sz="18" w:space="0" w:color="auto"/>
                    <w:bottom w:val="single" w:sz="18" w:space="0" w:color="auto"/>
                    <w:right w:val="single" w:sz="18" w:space="0" w:color="auto"/>
                  </w:tcBorders>
                  <w:vAlign w:val="center"/>
                </w:tcPr>
                <w:p w:rsidR="0022072B" w:rsidRDefault="0022072B" w:rsidP="0022072B">
                  <w:pPr>
                    <w:jc w:val="center"/>
                    <w:rPr>
                      <w:noProof/>
                    </w:rPr>
                  </w:pPr>
                  <w:r w:rsidRPr="000466DE">
                    <w:rPr>
                      <w:sz w:val="18"/>
                      <w:szCs w:val="18"/>
                    </w:rPr>
                    <w:t>EFL is over 6 (i.e., 7 or 8)</w:t>
                  </w:r>
                </w:p>
              </w:tc>
              <w:tc>
                <w:tcPr>
                  <w:tcW w:w="1620" w:type="dxa"/>
                  <w:tcBorders>
                    <w:left w:val="single" w:sz="18" w:space="0" w:color="auto"/>
                  </w:tcBorders>
                </w:tcPr>
                <w:p w:rsidR="0022072B" w:rsidRDefault="0022072B" w:rsidP="0022072B">
                  <w:pPr>
                    <w:jc w:val="center"/>
                  </w:pPr>
                </w:p>
              </w:tc>
              <w:tc>
                <w:tcPr>
                  <w:tcW w:w="3192" w:type="dxa"/>
                </w:tcPr>
                <w:p w:rsidR="0022072B" w:rsidRDefault="0022072B" w:rsidP="0022072B"/>
              </w:tc>
              <w:tc>
                <w:tcPr>
                  <w:tcW w:w="2160" w:type="dxa"/>
                </w:tcPr>
                <w:p w:rsidR="0022072B" w:rsidRDefault="0022072B" w:rsidP="0022072B"/>
              </w:tc>
            </w:tr>
            <w:tr w:rsidR="0022072B" w:rsidTr="0022072B">
              <w:tc>
                <w:tcPr>
                  <w:tcW w:w="3168" w:type="dxa"/>
                  <w:tcBorders>
                    <w:top w:val="single" w:sz="18" w:space="0" w:color="auto"/>
                  </w:tcBorders>
                  <w:vAlign w:val="center"/>
                </w:tcPr>
                <w:p w:rsidR="0022072B" w:rsidRDefault="00C83160" w:rsidP="0022072B">
                  <w:pPr>
                    <w:rPr>
                      <w:noProof/>
                    </w:rPr>
                  </w:pPr>
                  <w:r>
                    <w:rPr>
                      <w:noProof/>
                    </w:rPr>
                    <w:pict>
                      <v:shape id="_x0000_s1134" type="#_x0000_t32" style="position:absolute;margin-left:90pt;margin-top:19.75pt;width:254.55pt;height:0;z-index:251762688;mso-position-horizontal-relative:text;mso-position-vertical-relative:text" o:connectortype="straight">
                        <v:stroke endarrow="block"/>
                      </v:shape>
                    </w:pict>
                  </w:r>
                  <w:r>
                    <w:rPr>
                      <w:noProof/>
                    </w:rPr>
                    <w:pict>
                      <v:shape id="_x0000_s1128" type="#_x0000_t32" style="position:absolute;margin-left:86pt;margin-top:-.2pt;width:0;height:24.75pt;z-index:251757568;mso-position-horizontal-relative:text;mso-position-vertical-relative:text" o:connectortype="straight">
                        <v:stroke endarrow="block"/>
                      </v:shape>
                    </w:pict>
                  </w:r>
                </w:p>
              </w:tc>
              <w:tc>
                <w:tcPr>
                  <w:tcW w:w="1620" w:type="dxa"/>
                </w:tcPr>
                <w:p w:rsidR="0022072B" w:rsidRDefault="0022072B" w:rsidP="0022072B">
                  <w:pPr>
                    <w:jc w:val="center"/>
                  </w:pPr>
                </w:p>
              </w:tc>
              <w:tc>
                <w:tcPr>
                  <w:tcW w:w="3192" w:type="dxa"/>
                </w:tcPr>
                <w:p w:rsidR="0022072B" w:rsidRDefault="0022072B" w:rsidP="0022072B"/>
              </w:tc>
              <w:tc>
                <w:tcPr>
                  <w:tcW w:w="2160" w:type="dxa"/>
                </w:tcPr>
                <w:p w:rsidR="0022072B" w:rsidRDefault="0022072B" w:rsidP="0022072B"/>
              </w:tc>
            </w:tr>
          </w:tbl>
          <w:p w:rsidR="003059D9" w:rsidRPr="00792666" w:rsidRDefault="000F6D6A" w:rsidP="00101C25">
            <w:pPr>
              <w:rPr>
                <w:rFonts w:ascii="Calibri" w:hAnsi="Calibri"/>
                <w:sz w:val="18"/>
                <w:szCs w:val="18"/>
              </w:rPr>
            </w:pPr>
            <w:r>
              <w:rPr>
                <w:rFonts w:ascii="Calibri" w:hAnsi="Calibri"/>
                <w:sz w:val="20"/>
                <w:szCs w:val="20"/>
              </w:rPr>
              <w:lastRenderedPageBreak/>
              <w:t>Turning our attention to another aspect of Lit/Num Reporting, t</w:t>
            </w:r>
            <w:r w:rsidR="00EF68F1">
              <w:rPr>
                <w:rFonts w:ascii="Calibri" w:hAnsi="Calibri"/>
                <w:sz w:val="20"/>
                <w:szCs w:val="20"/>
              </w:rPr>
              <w:t xml:space="preserve">he collection of assessment data for youth who are basic skills deficient is organized according to Type of Assessment Test and Functional Area.  </w:t>
            </w:r>
            <w:r w:rsidR="003059D9">
              <w:rPr>
                <w:rFonts w:ascii="Calibri" w:hAnsi="Calibri"/>
                <w:sz w:val="20"/>
                <w:szCs w:val="20"/>
              </w:rPr>
              <w:t xml:space="preserve"> </w:t>
            </w:r>
            <w:r w:rsidR="003059D9">
              <w:rPr>
                <w:rFonts w:ascii="Calibri" w:hAnsi="Calibri"/>
                <w:b/>
                <w:i/>
                <w:sz w:val="20"/>
                <w:szCs w:val="20"/>
              </w:rPr>
              <w:t>T</w:t>
            </w:r>
            <w:r w:rsidR="007E6005">
              <w:rPr>
                <w:rFonts w:ascii="Calibri" w:hAnsi="Calibri"/>
                <w:b/>
                <w:i/>
                <w:sz w:val="20"/>
                <w:szCs w:val="20"/>
              </w:rPr>
              <w:t xml:space="preserve">he </w:t>
            </w:r>
            <w:r w:rsidR="00792666">
              <w:rPr>
                <w:rFonts w:ascii="Calibri" w:hAnsi="Calibri"/>
                <w:b/>
                <w:i/>
                <w:sz w:val="20"/>
                <w:szCs w:val="20"/>
              </w:rPr>
              <w:t>WIASRD</w:t>
            </w:r>
            <w:r w:rsidR="007E6005">
              <w:rPr>
                <w:rFonts w:ascii="Calibri" w:hAnsi="Calibri"/>
                <w:b/>
                <w:i/>
                <w:sz w:val="20"/>
                <w:szCs w:val="20"/>
              </w:rPr>
              <w:t xml:space="preserve"> format accommodates </w:t>
            </w:r>
            <w:r w:rsidR="005C22A5">
              <w:rPr>
                <w:rFonts w:ascii="Calibri" w:hAnsi="Calibri"/>
                <w:b/>
                <w:i/>
                <w:sz w:val="20"/>
                <w:szCs w:val="20"/>
              </w:rPr>
              <w:t>data for up to three separate educational functioning areas (</w:t>
            </w:r>
            <w:r w:rsidR="00CE7E30">
              <w:rPr>
                <w:rFonts w:ascii="Calibri" w:hAnsi="Calibri"/>
                <w:b/>
                <w:i/>
                <w:sz w:val="20"/>
                <w:szCs w:val="20"/>
              </w:rPr>
              <w:t>such as math or</w:t>
            </w:r>
            <w:r w:rsidR="005C22A5">
              <w:rPr>
                <w:rFonts w:ascii="Calibri" w:hAnsi="Calibri"/>
                <w:b/>
                <w:i/>
                <w:sz w:val="20"/>
                <w:szCs w:val="20"/>
              </w:rPr>
              <w:t xml:space="preserve"> reading), each of which can be tracked for up to three years as necessary.</w:t>
            </w:r>
            <w:r w:rsidR="003059D9">
              <w:rPr>
                <w:rFonts w:ascii="Calibri" w:hAnsi="Calibri"/>
                <w:b/>
                <w:i/>
                <w:sz w:val="20"/>
                <w:szCs w:val="20"/>
              </w:rPr>
              <w:t xml:space="preserve"> </w:t>
            </w:r>
            <w:r w:rsidR="00023527">
              <w:rPr>
                <w:rFonts w:ascii="Calibri" w:hAnsi="Calibri"/>
                <w:sz w:val="20"/>
                <w:szCs w:val="20"/>
              </w:rPr>
              <w:t xml:space="preserve">Attachment A of </w:t>
            </w:r>
            <w:r w:rsidR="00580577">
              <w:rPr>
                <w:rFonts w:ascii="Calibri" w:hAnsi="Calibri"/>
                <w:sz w:val="20"/>
                <w:szCs w:val="20"/>
              </w:rPr>
              <w:t>TEGL 17-09 contains the WIASRD re</w:t>
            </w:r>
            <w:r w:rsidR="00792666">
              <w:rPr>
                <w:rFonts w:ascii="Calibri" w:hAnsi="Calibri"/>
                <w:sz w:val="20"/>
                <w:szCs w:val="20"/>
              </w:rPr>
              <w:t>cord layout – containing data elements and definitions – which can</w:t>
            </w:r>
            <w:r w:rsidR="00580577">
              <w:rPr>
                <w:rFonts w:ascii="Calibri" w:hAnsi="Calibri"/>
                <w:sz w:val="20"/>
                <w:szCs w:val="20"/>
              </w:rPr>
              <w:t xml:space="preserve"> be accessed at</w:t>
            </w:r>
            <w:r w:rsidR="00580577" w:rsidRPr="00792666">
              <w:rPr>
                <w:rFonts w:ascii="Calibri" w:hAnsi="Calibri"/>
                <w:szCs w:val="20"/>
              </w:rPr>
              <w:t xml:space="preserve"> </w:t>
            </w:r>
            <w:hyperlink r:id="rId12" w:history="1">
              <w:r w:rsidR="006E6B0F" w:rsidRPr="006E6B0F">
                <w:rPr>
                  <w:rStyle w:val="Hyperlink"/>
                  <w:rFonts w:ascii="Calibri" w:hAnsi="Calibri"/>
                  <w:sz w:val="16"/>
                  <w:szCs w:val="16"/>
                </w:rPr>
                <w:t>http://wdr.doleta.gov/directives/attach/TEGL/TEGL17-09a1.pdf</w:t>
              </w:r>
            </w:hyperlink>
            <w:r w:rsidR="00792666" w:rsidRPr="00792666">
              <w:rPr>
                <w:rFonts w:ascii="Calibri" w:hAnsi="Calibri"/>
                <w:sz w:val="20"/>
                <w:szCs w:val="18"/>
              </w:rPr>
              <w:t xml:space="preserve">. </w:t>
            </w:r>
          </w:p>
          <w:p w:rsidR="00101C25" w:rsidRPr="003059D9" w:rsidRDefault="00101C25" w:rsidP="00101C25">
            <w:pPr>
              <w:rPr>
                <w:rFonts w:ascii="Calibri" w:hAnsi="Calibri"/>
                <w:color w:val="800000"/>
                <w:sz w:val="20"/>
                <w:szCs w:val="20"/>
              </w:rPr>
            </w:pPr>
          </w:p>
        </w:tc>
      </w:tr>
      <w:tr w:rsidR="00FC057A" w:rsidTr="0068056B">
        <w:tc>
          <w:tcPr>
            <w:tcW w:w="2898" w:type="dxa"/>
            <w:vMerge w:val="restart"/>
          </w:tcPr>
          <w:p w:rsidR="00FC057A" w:rsidRPr="005C22A5" w:rsidRDefault="00FC057A" w:rsidP="00765DB6">
            <w:pPr>
              <w:rPr>
                <w:rFonts w:ascii="Calibri" w:hAnsi="Calibri"/>
                <w:b/>
                <w:sz w:val="20"/>
                <w:szCs w:val="20"/>
              </w:rPr>
            </w:pPr>
            <w:r w:rsidRPr="005C22A5">
              <w:rPr>
                <w:rFonts w:ascii="Calibri" w:hAnsi="Calibri"/>
                <w:b/>
                <w:sz w:val="20"/>
                <w:szCs w:val="20"/>
              </w:rPr>
              <w:lastRenderedPageBreak/>
              <w:t>EXAMPLE:</w:t>
            </w:r>
          </w:p>
          <w:p w:rsidR="0068056B" w:rsidRDefault="0068056B" w:rsidP="00F63C4B">
            <w:pPr>
              <w:rPr>
                <w:rFonts w:ascii="Calibri" w:hAnsi="Calibri"/>
                <w:sz w:val="19"/>
                <w:szCs w:val="19"/>
              </w:rPr>
            </w:pPr>
          </w:p>
          <w:p w:rsidR="00FC057A" w:rsidRPr="00D07B5B" w:rsidRDefault="00FC057A" w:rsidP="00F63C4B">
            <w:pPr>
              <w:rPr>
                <w:rFonts w:ascii="Calibri" w:hAnsi="Calibri"/>
                <w:b/>
                <w:sz w:val="19"/>
                <w:szCs w:val="19"/>
              </w:rPr>
            </w:pPr>
            <w:r w:rsidRPr="00D07B5B">
              <w:rPr>
                <w:rFonts w:ascii="Calibri" w:hAnsi="Calibri"/>
                <w:sz w:val="19"/>
                <w:szCs w:val="19"/>
              </w:rPr>
              <w:t>Mary was assessed in reading and math using the TABE 9-10</w:t>
            </w:r>
            <w:r w:rsidR="00921E91" w:rsidRPr="00D07B5B">
              <w:rPr>
                <w:rFonts w:ascii="Calibri" w:hAnsi="Calibri"/>
                <w:sz w:val="19"/>
                <w:szCs w:val="19"/>
              </w:rPr>
              <w:t xml:space="preserve"> and found to be basic skills deficient in both</w:t>
            </w:r>
            <w:r w:rsidRPr="00D07B5B">
              <w:rPr>
                <w:rFonts w:ascii="Calibri" w:hAnsi="Calibri"/>
                <w:sz w:val="19"/>
                <w:szCs w:val="19"/>
              </w:rPr>
              <w:t xml:space="preserve">.  The category of assessment was ABE.  Therefore, data elements 702-715 will be used to track achievement in the Reading functional area (for up to 3 years if necessary).  Data elements 716-729 will be used to track achievement in the Math functional area (for up to 3 years).  Data elements 730-743 can be used to track achievement in an additional functioning area. </w:t>
            </w:r>
            <w:r w:rsidR="00D07B5B" w:rsidRPr="00D07B5B">
              <w:rPr>
                <w:rFonts w:ascii="Calibri" w:hAnsi="Calibri"/>
                <w:sz w:val="19"/>
                <w:szCs w:val="19"/>
              </w:rPr>
              <w:t xml:space="preserve">As long as Mary increases one EFL in either reading or math within one year, she is considered a </w:t>
            </w:r>
            <w:r w:rsidR="00F63C4B">
              <w:rPr>
                <w:rFonts w:ascii="Calibri" w:hAnsi="Calibri"/>
                <w:sz w:val="19"/>
                <w:szCs w:val="19"/>
              </w:rPr>
              <w:t>positive outcome</w:t>
            </w:r>
            <w:r w:rsidR="00D07B5B" w:rsidRPr="00D07B5B">
              <w:rPr>
                <w:rFonts w:ascii="Calibri" w:hAnsi="Calibri"/>
                <w:sz w:val="19"/>
                <w:szCs w:val="19"/>
              </w:rPr>
              <w:t>.</w:t>
            </w:r>
          </w:p>
        </w:tc>
        <w:tc>
          <w:tcPr>
            <w:tcW w:w="270" w:type="dxa"/>
          </w:tcPr>
          <w:p w:rsidR="00FC057A" w:rsidRPr="003059D9" w:rsidRDefault="00FC057A" w:rsidP="00765DB6">
            <w:pPr>
              <w:rPr>
                <w:rFonts w:ascii="Calibri" w:hAnsi="Calibri"/>
                <w:sz w:val="20"/>
                <w:szCs w:val="20"/>
              </w:rPr>
            </w:pPr>
          </w:p>
        </w:tc>
        <w:tc>
          <w:tcPr>
            <w:tcW w:w="7560" w:type="dxa"/>
            <w:gridSpan w:val="3"/>
            <w:tcBorders>
              <w:bottom w:val="single" w:sz="4" w:space="0" w:color="auto"/>
            </w:tcBorders>
          </w:tcPr>
          <w:p w:rsidR="00FC057A" w:rsidRDefault="00FC057A" w:rsidP="005C22A5">
            <w:pPr>
              <w:jc w:val="center"/>
              <w:rPr>
                <w:rFonts w:ascii="Calibri" w:hAnsi="Calibri"/>
                <w:sz w:val="20"/>
                <w:szCs w:val="20"/>
              </w:rPr>
            </w:pPr>
            <w:r>
              <w:rPr>
                <w:rFonts w:ascii="Calibri" w:hAnsi="Calibri"/>
                <w:sz w:val="20"/>
                <w:szCs w:val="20"/>
              </w:rPr>
              <w:t>WIASRD #701 (Category of Assessment) is the first data element for Literacy/Numeracy, with three possible coding choices: 1=ABE; 2=ESL; 3=Both ABE and ESL</w:t>
            </w:r>
          </w:p>
          <w:p w:rsidR="00FC057A" w:rsidRDefault="00FC057A" w:rsidP="005C22A5">
            <w:pPr>
              <w:jc w:val="center"/>
              <w:rPr>
                <w:rFonts w:ascii="Calibri" w:hAnsi="Calibri"/>
                <w:sz w:val="20"/>
                <w:szCs w:val="20"/>
              </w:rPr>
            </w:pPr>
          </w:p>
        </w:tc>
      </w:tr>
      <w:tr w:rsidR="00FC057A" w:rsidTr="0068056B">
        <w:tc>
          <w:tcPr>
            <w:tcW w:w="2898" w:type="dxa"/>
            <w:vMerge/>
          </w:tcPr>
          <w:p w:rsidR="00FC057A" w:rsidRPr="003059D9" w:rsidRDefault="00FC057A" w:rsidP="005C22A5">
            <w:pPr>
              <w:rPr>
                <w:rFonts w:ascii="Calibri" w:hAnsi="Calibri"/>
                <w:sz w:val="20"/>
                <w:szCs w:val="20"/>
              </w:rPr>
            </w:pPr>
          </w:p>
        </w:tc>
        <w:tc>
          <w:tcPr>
            <w:tcW w:w="270" w:type="dxa"/>
            <w:vMerge w:val="restart"/>
            <w:tcBorders>
              <w:right w:val="single" w:sz="4" w:space="0" w:color="auto"/>
            </w:tcBorders>
          </w:tcPr>
          <w:p w:rsidR="00FC057A" w:rsidRPr="003059D9" w:rsidRDefault="00FC057A" w:rsidP="00765DB6">
            <w:pPr>
              <w:rPr>
                <w:rFonts w:ascii="Calibri" w:hAnsi="Calibri"/>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C057A" w:rsidRPr="005C22A5" w:rsidRDefault="00FC057A" w:rsidP="00715F6D">
            <w:pPr>
              <w:jc w:val="center"/>
              <w:rPr>
                <w:rFonts w:ascii="Calibri" w:hAnsi="Calibri"/>
                <w:b/>
                <w:sz w:val="20"/>
                <w:szCs w:val="20"/>
              </w:rPr>
            </w:pPr>
            <w:r w:rsidRPr="005C22A5">
              <w:rPr>
                <w:rFonts w:ascii="Calibri" w:hAnsi="Calibri"/>
                <w:b/>
                <w:sz w:val="20"/>
                <w:szCs w:val="20"/>
              </w:rPr>
              <w:t>First Functional Area</w:t>
            </w:r>
          </w:p>
          <w:p w:rsidR="00FC057A" w:rsidRPr="005C22A5" w:rsidRDefault="00FC057A" w:rsidP="00715F6D">
            <w:pPr>
              <w:jc w:val="center"/>
              <w:rPr>
                <w:rFonts w:ascii="Calibri" w:hAnsi="Calibri"/>
                <w:sz w:val="18"/>
                <w:szCs w:val="18"/>
              </w:rPr>
            </w:pPr>
            <w:r w:rsidRPr="005C22A5">
              <w:rPr>
                <w:rFonts w:ascii="Calibri" w:hAnsi="Calibri"/>
                <w:sz w:val="18"/>
                <w:szCs w:val="18"/>
              </w:rPr>
              <w:t>WIASRD Items 701—715</w:t>
            </w:r>
          </w:p>
        </w:tc>
        <w:tc>
          <w:tcPr>
            <w:tcW w:w="24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057A" w:rsidRPr="005C22A5" w:rsidRDefault="00FC057A" w:rsidP="00765DB6">
            <w:pPr>
              <w:rPr>
                <w:rFonts w:ascii="Calibri" w:hAnsi="Calibri"/>
                <w:b/>
                <w:sz w:val="20"/>
                <w:szCs w:val="20"/>
              </w:rPr>
            </w:pPr>
            <w:r w:rsidRPr="005C22A5">
              <w:rPr>
                <w:rFonts w:ascii="Calibri" w:hAnsi="Calibri"/>
                <w:b/>
                <w:sz w:val="20"/>
                <w:szCs w:val="20"/>
              </w:rPr>
              <w:t xml:space="preserve"> </w:t>
            </w:r>
            <w:r>
              <w:rPr>
                <w:rFonts w:ascii="Calibri" w:hAnsi="Calibri"/>
                <w:b/>
                <w:sz w:val="20"/>
                <w:szCs w:val="20"/>
              </w:rPr>
              <w:t xml:space="preserve">  </w:t>
            </w:r>
            <w:r w:rsidRPr="005C22A5">
              <w:rPr>
                <w:rFonts w:ascii="Calibri" w:hAnsi="Calibri"/>
                <w:b/>
                <w:sz w:val="20"/>
                <w:szCs w:val="20"/>
              </w:rPr>
              <w:t>Second Functional Area</w:t>
            </w:r>
          </w:p>
          <w:p w:rsidR="00FC057A" w:rsidRPr="005C22A5" w:rsidRDefault="00FC057A" w:rsidP="00765DB6">
            <w:pPr>
              <w:rPr>
                <w:rFonts w:ascii="Calibri" w:hAnsi="Calibri"/>
                <w:sz w:val="18"/>
                <w:szCs w:val="18"/>
              </w:rPr>
            </w:pPr>
            <w:r>
              <w:rPr>
                <w:rFonts w:ascii="Calibri" w:hAnsi="Calibri"/>
                <w:sz w:val="18"/>
                <w:szCs w:val="18"/>
              </w:rPr>
              <w:t xml:space="preserve">     </w:t>
            </w:r>
            <w:r w:rsidRPr="005C22A5">
              <w:rPr>
                <w:rFonts w:ascii="Calibri" w:hAnsi="Calibri"/>
                <w:sz w:val="18"/>
                <w:szCs w:val="18"/>
              </w:rPr>
              <w:t xml:space="preserve">WIASRD Items 716—729 </w:t>
            </w:r>
          </w:p>
        </w:tc>
        <w:tc>
          <w:tcPr>
            <w:tcW w:w="24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C057A" w:rsidRPr="005C22A5" w:rsidRDefault="00FC057A" w:rsidP="00715F6D">
            <w:pPr>
              <w:jc w:val="center"/>
              <w:rPr>
                <w:rFonts w:ascii="Calibri" w:hAnsi="Calibri"/>
                <w:b/>
                <w:sz w:val="20"/>
                <w:szCs w:val="20"/>
              </w:rPr>
            </w:pPr>
            <w:r w:rsidRPr="005C22A5">
              <w:rPr>
                <w:rFonts w:ascii="Calibri" w:hAnsi="Calibri"/>
                <w:b/>
                <w:sz w:val="20"/>
                <w:szCs w:val="20"/>
              </w:rPr>
              <w:t>Third Functional Area</w:t>
            </w:r>
          </w:p>
          <w:p w:rsidR="00FC057A" w:rsidRPr="005C22A5" w:rsidRDefault="00FC057A" w:rsidP="00715F6D">
            <w:pPr>
              <w:jc w:val="center"/>
              <w:rPr>
                <w:rFonts w:ascii="Calibri" w:hAnsi="Calibri"/>
                <w:sz w:val="18"/>
                <w:szCs w:val="18"/>
              </w:rPr>
            </w:pPr>
            <w:r w:rsidRPr="005C22A5">
              <w:rPr>
                <w:rFonts w:ascii="Calibri" w:hAnsi="Calibri"/>
                <w:sz w:val="18"/>
                <w:szCs w:val="18"/>
              </w:rPr>
              <w:t>WIASRD Items 730—743</w:t>
            </w:r>
          </w:p>
        </w:tc>
      </w:tr>
      <w:tr w:rsidR="00FC057A" w:rsidTr="0068056B">
        <w:trPr>
          <w:trHeight w:val="1565"/>
        </w:trPr>
        <w:tc>
          <w:tcPr>
            <w:tcW w:w="2898" w:type="dxa"/>
            <w:vMerge/>
          </w:tcPr>
          <w:p w:rsidR="00FC057A" w:rsidRPr="003059D9" w:rsidRDefault="00FC057A" w:rsidP="00765DB6">
            <w:pPr>
              <w:rPr>
                <w:rFonts w:ascii="Calibri" w:hAnsi="Calibri"/>
                <w:sz w:val="20"/>
                <w:szCs w:val="20"/>
              </w:rPr>
            </w:pPr>
          </w:p>
        </w:tc>
        <w:tc>
          <w:tcPr>
            <w:tcW w:w="270" w:type="dxa"/>
            <w:vMerge/>
            <w:tcBorders>
              <w:right w:val="single" w:sz="4" w:space="0" w:color="auto"/>
            </w:tcBorders>
          </w:tcPr>
          <w:p w:rsidR="00FC057A" w:rsidRPr="003059D9" w:rsidRDefault="00FC057A" w:rsidP="00765DB6">
            <w:pPr>
              <w:rPr>
                <w:rFonts w:ascii="Calibri" w:hAnsi="Calibri"/>
                <w:sz w:val="20"/>
                <w:szCs w:val="20"/>
              </w:rPr>
            </w:pPr>
          </w:p>
        </w:tc>
        <w:tc>
          <w:tcPr>
            <w:tcW w:w="2700" w:type="dxa"/>
            <w:vMerge w:val="restart"/>
            <w:tcBorders>
              <w:top w:val="single" w:sz="4" w:space="0" w:color="auto"/>
              <w:left w:val="single" w:sz="4" w:space="0" w:color="auto"/>
              <w:right w:val="single" w:sz="4" w:space="0" w:color="auto"/>
            </w:tcBorders>
          </w:tcPr>
          <w:p w:rsidR="00FC057A" w:rsidRDefault="00FC057A" w:rsidP="00765DB6">
            <w:pPr>
              <w:rPr>
                <w:rFonts w:ascii="Calibri" w:hAnsi="Calibri"/>
                <w:sz w:val="16"/>
                <w:szCs w:val="16"/>
              </w:rPr>
            </w:pPr>
          </w:p>
          <w:p w:rsidR="00AB638A" w:rsidRDefault="00AB638A" w:rsidP="00765DB6">
            <w:pPr>
              <w:rPr>
                <w:rFonts w:ascii="Calibri" w:hAnsi="Calibri"/>
                <w:sz w:val="16"/>
                <w:szCs w:val="16"/>
              </w:rPr>
            </w:pPr>
            <w:r>
              <w:rPr>
                <w:rFonts w:ascii="Calibri" w:hAnsi="Calibri"/>
                <w:sz w:val="16"/>
                <w:szCs w:val="16"/>
              </w:rPr>
              <w:t>701</w:t>
            </w:r>
            <w:r w:rsidR="00F63C4B">
              <w:rPr>
                <w:rFonts w:ascii="Calibri" w:hAnsi="Calibri"/>
                <w:sz w:val="16"/>
                <w:szCs w:val="16"/>
              </w:rPr>
              <w:t xml:space="preserve"> – Category of Assessment</w:t>
            </w:r>
          </w:p>
          <w:p w:rsidR="00FC057A" w:rsidRDefault="00FC057A" w:rsidP="00765DB6">
            <w:pPr>
              <w:rPr>
                <w:rFonts w:ascii="Calibri" w:hAnsi="Calibri"/>
                <w:sz w:val="16"/>
                <w:szCs w:val="16"/>
              </w:rPr>
            </w:pPr>
            <w:r>
              <w:rPr>
                <w:rFonts w:ascii="Calibri" w:hAnsi="Calibri"/>
                <w:sz w:val="16"/>
                <w:szCs w:val="16"/>
              </w:rPr>
              <w:t>702 – Type of Assessment Test</w:t>
            </w:r>
          </w:p>
          <w:p w:rsidR="00FC057A" w:rsidRDefault="00FC057A" w:rsidP="00765DB6">
            <w:pPr>
              <w:rPr>
                <w:rFonts w:ascii="Calibri" w:hAnsi="Calibri"/>
                <w:sz w:val="16"/>
                <w:szCs w:val="16"/>
              </w:rPr>
            </w:pPr>
            <w:r>
              <w:rPr>
                <w:rFonts w:ascii="Calibri" w:hAnsi="Calibri"/>
                <w:sz w:val="16"/>
                <w:szCs w:val="16"/>
              </w:rPr>
              <w:t>703 – Functional Area</w:t>
            </w:r>
          </w:p>
          <w:p w:rsidR="00FC057A" w:rsidRDefault="00FC057A" w:rsidP="00765DB6">
            <w:pPr>
              <w:rPr>
                <w:rFonts w:ascii="Calibri" w:hAnsi="Calibri"/>
                <w:sz w:val="16"/>
                <w:szCs w:val="16"/>
              </w:rPr>
            </w:pPr>
            <w:r>
              <w:rPr>
                <w:rFonts w:ascii="Calibri" w:hAnsi="Calibri"/>
                <w:sz w:val="16"/>
                <w:szCs w:val="16"/>
              </w:rPr>
              <w:t>704 – Date for Pre-Test</w:t>
            </w:r>
          </w:p>
          <w:p w:rsidR="00FC057A" w:rsidRDefault="00FC057A" w:rsidP="00765DB6">
            <w:pPr>
              <w:rPr>
                <w:rFonts w:ascii="Calibri" w:hAnsi="Calibri"/>
                <w:sz w:val="16"/>
                <w:szCs w:val="16"/>
              </w:rPr>
            </w:pPr>
            <w:r>
              <w:rPr>
                <w:rFonts w:ascii="Calibri" w:hAnsi="Calibri"/>
                <w:sz w:val="16"/>
                <w:szCs w:val="16"/>
              </w:rPr>
              <w:t>705 – Pre-Test Score</w:t>
            </w:r>
          </w:p>
          <w:p w:rsidR="00FC057A" w:rsidRDefault="00FC057A" w:rsidP="00765DB6">
            <w:pPr>
              <w:rPr>
                <w:rFonts w:ascii="Calibri" w:hAnsi="Calibri"/>
                <w:sz w:val="16"/>
                <w:szCs w:val="16"/>
              </w:rPr>
            </w:pPr>
            <w:r>
              <w:rPr>
                <w:rFonts w:ascii="Calibri" w:hAnsi="Calibri"/>
                <w:sz w:val="16"/>
                <w:szCs w:val="16"/>
              </w:rPr>
              <w:t>706 – Educational Functioning Level</w:t>
            </w:r>
          </w:p>
          <w:p w:rsidR="00FC057A" w:rsidRDefault="00FC057A" w:rsidP="00765DB6">
            <w:pPr>
              <w:rPr>
                <w:rFonts w:ascii="Calibri" w:hAnsi="Calibri"/>
                <w:sz w:val="16"/>
                <w:szCs w:val="16"/>
              </w:rPr>
            </w:pPr>
            <w:r>
              <w:rPr>
                <w:rFonts w:ascii="Calibri" w:hAnsi="Calibri"/>
                <w:sz w:val="16"/>
                <w:szCs w:val="16"/>
              </w:rPr>
              <w:t>707 – Date for Post-Test (Year 1)</w:t>
            </w:r>
          </w:p>
          <w:p w:rsidR="00FC057A" w:rsidRDefault="00FC057A" w:rsidP="00765DB6">
            <w:pPr>
              <w:rPr>
                <w:rFonts w:ascii="Calibri" w:hAnsi="Calibri"/>
                <w:sz w:val="16"/>
                <w:szCs w:val="16"/>
              </w:rPr>
            </w:pPr>
            <w:r>
              <w:rPr>
                <w:rFonts w:ascii="Calibri" w:hAnsi="Calibri"/>
                <w:sz w:val="16"/>
                <w:szCs w:val="16"/>
              </w:rPr>
              <w:t>708 – Post-Test Score (Year 1)</w:t>
            </w:r>
          </w:p>
          <w:p w:rsidR="00FC057A" w:rsidRDefault="00FC057A" w:rsidP="00765DB6">
            <w:pPr>
              <w:rPr>
                <w:rFonts w:ascii="Calibri" w:hAnsi="Calibri"/>
                <w:sz w:val="16"/>
                <w:szCs w:val="16"/>
              </w:rPr>
            </w:pPr>
            <w:r>
              <w:rPr>
                <w:rFonts w:ascii="Calibri" w:hAnsi="Calibri"/>
                <w:sz w:val="16"/>
                <w:szCs w:val="16"/>
              </w:rPr>
              <w:t>709 – Educ. Functioning Level (Year 1)</w:t>
            </w:r>
          </w:p>
          <w:p w:rsidR="00FC057A" w:rsidRDefault="00FC057A" w:rsidP="00765DB6">
            <w:pPr>
              <w:rPr>
                <w:rFonts w:ascii="Calibri" w:hAnsi="Calibri"/>
                <w:sz w:val="16"/>
                <w:szCs w:val="16"/>
              </w:rPr>
            </w:pPr>
            <w:r>
              <w:rPr>
                <w:rFonts w:ascii="Calibri" w:hAnsi="Calibri"/>
                <w:sz w:val="16"/>
                <w:szCs w:val="16"/>
              </w:rPr>
              <w:t>710 – Date for Post-Test (Year 2)</w:t>
            </w:r>
          </w:p>
          <w:p w:rsidR="00FC057A" w:rsidRDefault="00FC057A" w:rsidP="00765DB6">
            <w:pPr>
              <w:rPr>
                <w:rFonts w:ascii="Calibri" w:hAnsi="Calibri"/>
                <w:sz w:val="16"/>
                <w:szCs w:val="16"/>
              </w:rPr>
            </w:pPr>
            <w:r>
              <w:rPr>
                <w:rFonts w:ascii="Calibri" w:hAnsi="Calibri"/>
                <w:sz w:val="16"/>
                <w:szCs w:val="16"/>
              </w:rPr>
              <w:t>711 – Post-Test Score (Year 2)</w:t>
            </w:r>
          </w:p>
          <w:p w:rsidR="00FC057A" w:rsidRDefault="00FC057A" w:rsidP="00765DB6">
            <w:pPr>
              <w:rPr>
                <w:rFonts w:ascii="Calibri" w:hAnsi="Calibri"/>
                <w:sz w:val="16"/>
                <w:szCs w:val="16"/>
              </w:rPr>
            </w:pPr>
            <w:r>
              <w:rPr>
                <w:rFonts w:ascii="Calibri" w:hAnsi="Calibri"/>
                <w:sz w:val="16"/>
                <w:szCs w:val="16"/>
              </w:rPr>
              <w:t>712 – Educ. Functioning Level (Year 2)</w:t>
            </w:r>
          </w:p>
          <w:p w:rsidR="00FC057A" w:rsidRDefault="00FC057A" w:rsidP="00765DB6">
            <w:pPr>
              <w:rPr>
                <w:rFonts w:ascii="Calibri" w:hAnsi="Calibri"/>
                <w:sz w:val="16"/>
                <w:szCs w:val="16"/>
              </w:rPr>
            </w:pPr>
            <w:r>
              <w:rPr>
                <w:rFonts w:ascii="Calibri" w:hAnsi="Calibri"/>
                <w:sz w:val="16"/>
                <w:szCs w:val="16"/>
              </w:rPr>
              <w:t>713 – Date for Post-Test (Year 3)</w:t>
            </w:r>
          </w:p>
          <w:p w:rsidR="00FC057A" w:rsidRDefault="00FC057A" w:rsidP="00765DB6">
            <w:pPr>
              <w:rPr>
                <w:rFonts w:ascii="Calibri" w:hAnsi="Calibri"/>
                <w:sz w:val="16"/>
                <w:szCs w:val="16"/>
              </w:rPr>
            </w:pPr>
            <w:r>
              <w:rPr>
                <w:rFonts w:ascii="Calibri" w:hAnsi="Calibri"/>
                <w:sz w:val="16"/>
                <w:szCs w:val="16"/>
              </w:rPr>
              <w:t>714 – Post-Test Score (Year 3)</w:t>
            </w:r>
          </w:p>
          <w:p w:rsidR="00FC057A" w:rsidRPr="003059D9" w:rsidRDefault="00FC057A" w:rsidP="00715F6D">
            <w:pPr>
              <w:rPr>
                <w:rFonts w:ascii="Calibri" w:hAnsi="Calibri"/>
                <w:sz w:val="16"/>
                <w:szCs w:val="16"/>
              </w:rPr>
            </w:pPr>
            <w:r>
              <w:rPr>
                <w:rFonts w:ascii="Calibri" w:hAnsi="Calibri"/>
                <w:sz w:val="16"/>
                <w:szCs w:val="16"/>
              </w:rPr>
              <w:t>715 – Educ. Functioning Level (Year 3)</w:t>
            </w:r>
          </w:p>
        </w:tc>
        <w:tc>
          <w:tcPr>
            <w:tcW w:w="2430" w:type="dxa"/>
            <w:tcBorders>
              <w:top w:val="single" w:sz="4" w:space="0" w:color="auto"/>
              <w:left w:val="single" w:sz="4" w:space="0" w:color="auto"/>
              <w:bottom w:val="single" w:sz="4" w:space="0" w:color="auto"/>
              <w:right w:val="single" w:sz="4" w:space="0" w:color="auto"/>
            </w:tcBorders>
          </w:tcPr>
          <w:p w:rsidR="00FC057A" w:rsidRPr="00656575" w:rsidRDefault="00FC057A" w:rsidP="00765DB6">
            <w:pPr>
              <w:rPr>
                <w:rFonts w:ascii="Calibri" w:hAnsi="Calibri"/>
                <w:sz w:val="18"/>
                <w:szCs w:val="18"/>
              </w:rPr>
            </w:pPr>
          </w:p>
          <w:p w:rsidR="00FC057A" w:rsidRPr="00656575" w:rsidRDefault="00FC057A" w:rsidP="00FC057A">
            <w:pPr>
              <w:jc w:val="center"/>
              <w:rPr>
                <w:rFonts w:ascii="Calibri" w:hAnsi="Calibri"/>
                <w:sz w:val="18"/>
                <w:szCs w:val="18"/>
              </w:rPr>
            </w:pPr>
            <w:r w:rsidRPr="00656575">
              <w:rPr>
                <w:rFonts w:ascii="Calibri" w:hAnsi="Calibri"/>
                <w:sz w:val="18"/>
                <w:szCs w:val="18"/>
              </w:rPr>
              <w:t>716 – Type of Assessment Test</w:t>
            </w:r>
          </w:p>
          <w:p w:rsidR="00FC057A" w:rsidRPr="00656575" w:rsidRDefault="00C83160" w:rsidP="00FC057A">
            <w:pPr>
              <w:jc w:val="center"/>
              <w:rPr>
                <w:rFonts w:ascii="Calibri" w:hAnsi="Calibri"/>
                <w:sz w:val="18"/>
                <w:szCs w:val="18"/>
              </w:rPr>
            </w:pPr>
            <w:r>
              <w:rPr>
                <w:rFonts w:ascii="Calibri" w:hAnsi="Calibri"/>
                <w:noProof/>
                <w:sz w:val="18"/>
                <w:szCs w:val="18"/>
              </w:rPr>
              <w:pict>
                <v:shape id="_x0000_s1044" type="#_x0000_t32" style="position:absolute;left:0;text-align:left;margin-left:51.1pt;margin-top:1.9pt;width:.05pt;height:13.5pt;z-index:251709440" o:connectortype="straight">
                  <v:stroke endarrow="block"/>
                </v:shape>
              </w:pict>
            </w:r>
          </w:p>
          <w:p w:rsidR="00FC057A" w:rsidRPr="00656575" w:rsidRDefault="00FC057A" w:rsidP="00FC057A">
            <w:pPr>
              <w:jc w:val="center"/>
              <w:rPr>
                <w:rFonts w:ascii="Calibri" w:hAnsi="Calibri"/>
                <w:sz w:val="18"/>
                <w:szCs w:val="18"/>
              </w:rPr>
            </w:pPr>
          </w:p>
          <w:p w:rsidR="00FC057A" w:rsidRPr="00656575" w:rsidRDefault="00FC057A" w:rsidP="00FC057A">
            <w:pPr>
              <w:jc w:val="center"/>
              <w:rPr>
                <w:rFonts w:ascii="Calibri" w:hAnsi="Calibri"/>
                <w:sz w:val="18"/>
                <w:szCs w:val="18"/>
              </w:rPr>
            </w:pPr>
            <w:r w:rsidRPr="00656575">
              <w:rPr>
                <w:rFonts w:ascii="Calibri" w:hAnsi="Calibri"/>
                <w:sz w:val="18"/>
                <w:szCs w:val="18"/>
              </w:rPr>
              <w:t>729 – EFL (Year 3)*</w:t>
            </w:r>
          </w:p>
          <w:p w:rsidR="00FC057A" w:rsidRPr="00656575" w:rsidRDefault="00FC057A" w:rsidP="00765DB6">
            <w:pPr>
              <w:rPr>
                <w:rFonts w:ascii="Calibri" w:hAnsi="Calibri"/>
                <w:sz w:val="18"/>
                <w:szCs w:val="18"/>
              </w:rPr>
            </w:pPr>
          </w:p>
        </w:tc>
        <w:tc>
          <w:tcPr>
            <w:tcW w:w="2430" w:type="dxa"/>
            <w:tcBorders>
              <w:top w:val="single" w:sz="4" w:space="0" w:color="auto"/>
              <w:left w:val="single" w:sz="4" w:space="0" w:color="auto"/>
              <w:bottom w:val="single" w:sz="4" w:space="0" w:color="auto"/>
              <w:right w:val="single" w:sz="4" w:space="0" w:color="auto"/>
            </w:tcBorders>
          </w:tcPr>
          <w:p w:rsidR="00FC057A" w:rsidRPr="00656575" w:rsidRDefault="00FC057A" w:rsidP="00765DB6">
            <w:pPr>
              <w:rPr>
                <w:rFonts w:ascii="Calibri" w:hAnsi="Calibri"/>
                <w:sz w:val="18"/>
                <w:szCs w:val="18"/>
              </w:rPr>
            </w:pPr>
          </w:p>
          <w:p w:rsidR="00FC057A" w:rsidRPr="00656575" w:rsidRDefault="00FC057A" w:rsidP="00FC057A">
            <w:pPr>
              <w:jc w:val="center"/>
              <w:rPr>
                <w:rFonts w:ascii="Calibri" w:hAnsi="Calibri"/>
                <w:sz w:val="18"/>
                <w:szCs w:val="18"/>
              </w:rPr>
            </w:pPr>
            <w:r w:rsidRPr="00656575">
              <w:rPr>
                <w:rFonts w:ascii="Calibri" w:hAnsi="Calibri"/>
                <w:sz w:val="18"/>
                <w:szCs w:val="18"/>
              </w:rPr>
              <w:t>730 – Type of Assessment Test</w:t>
            </w:r>
          </w:p>
          <w:p w:rsidR="00FC057A" w:rsidRPr="00656575" w:rsidRDefault="00C83160" w:rsidP="00FC057A">
            <w:pPr>
              <w:jc w:val="center"/>
              <w:rPr>
                <w:rFonts w:ascii="Calibri" w:hAnsi="Calibri"/>
                <w:sz w:val="18"/>
                <w:szCs w:val="18"/>
              </w:rPr>
            </w:pPr>
            <w:r>
              <w:rPr>
                <w:rFonts w:ascii="Calibri" w:hAnsi="Calibri"/>
                <w:noProof/>
                <w:sz w:val="18"/>
                <w:szCs w:val="18"/>
              </w:rPr>
              <w:pict>
                <v:shape id="_x0000_s1045" type="#_x0000_t32" style="position:absolute;left:0;text-align:left;margin-left:53.4pt;margin-top:1.9pt;width:.05pt;height:13.5pt;z-index:251710464" o:connectortype="straight">
                  <v:stroke endarrow="block"/>
                </v:shape>
              </w:pict>
            </w:r>
          </w:p>
          <w:p w:rsidR="00FC057A" w:rsidRPr="00656575" w:rsidRDefault="00FC057A" w:rsidP="00FC057A">
            <w:pPr>
              <w:jc w:val="center"/>
              <w:rPr>
                <w:rFonts w:ascii="Calibri" w:hAnsi="Calibri"/>
                <w:sz w:val="18"/>
                <w:szCs w:val="18"/>
              </w:rPr>
            </w:pPr>
          </w:p>
          <w:p w:rsidR="00FC057A" w:rsidRPr="00656575" w:rsidRDefault="00FC057A" w:rsidP="00FC057A">
            <w:pPr>
              <w:jc w:val="center"/>
              <w:rPr>
                <w:rFonts w:ascii="Calibri" w:hAnsi="Calibri"/>
                <w:sz w:val="18"/>
                <w:szCs w:val="18"/>
              </w:rPr>
            </w:pPr>
            <w:r w:rsidRPr="00656575">
              <w:rPr>
                <w:rFonts w:ascii="Calibri" w:hAnsi="Calibri"/>
                <w:sz w:val="18"/>
                <w:szCs w:val="18"/>
              </w:rPr>
              <w:t>743 – EFL (Year 3)</w:t>
            </w:r>
          </w:p>
        </w:tc>
      </w:tr>
      <w:tr w:rsidR="00FC057A" w:rsidTr="0068056B">
        <w:trPr>
          <w:trHeight w:val="2141"/>
        </w:trPr>
        <w:tc>
          <w:tcPr>
            <w:tcW w:w="2898" w:type="dxa"/>
            <w:vMerge/>
          </w:tcPr>
          <w:p w:rsidR="00FC057A" w:rsidRPr="003059D9" w:rsidRDefault="00FC057A" w:rsidP="00765DB6">
            <w:pPr>
              <w:rPr>
                <w:rFonts w:ascii="Calibri" w:hAnsi="Calibri"/>
                <w:sz w:val="20"/>
                <w:szCs w:val="20"/>
              </w:rPr>
            </w:pPr>
          </w:p>
        </w:tc>
        <w:tc>
          <w:tcPr>
            <w:tcW w:w="270" w:type="dxa"/>
            <w:vMerge/>
            <w:tcBorders>
              <w:right w:val="single" w:sz="4" w:space="0" w:color="auto"/>
            </w:tcBorders>
          </w:tcPr>
          <w:p w:rsidR="00FC057A" w:rsidRPr="003059D9" w:rsidRDefault="00FC057A" w:rsidP="00765DB6">
            <w:pPr>
              <w:rPr>
                <w:rFonts w:ascii="Calibri" w:hAnsi="Calibri"/>
                <w:sz w:val="20"/>
                <w:szCs w:val="20"/>
              </w:rPr>
            </w:pPr>
          </w:p>
        </w:tc>
        <w:tc>
          <w:tcPr>
            <w:tcW w:w="2700" w:type="dxa"/>
            <w:vMerge/>
            <w:tcBorders>
              <w:left w:val="single" w:sz="4" w:space="0" w:color="auto"/>
              <w:bottom w:val="single" w:sz="4" w:space="0" w:color="auto"/>
              <w:right w:val="single" w:sz="4" w:space="0" w:color="auto"/>
            </w:tcBorders>
          </w:tcPr>
          <w:p w:rsidR="00FC057A" w:rsidRDefault="00FC057A" w:rsidP="00765DB6">
            <w:pPr>
              <w:rPr>
                <w:rFonts w:ascii="Calibri" w:hAnsi="Calibri"/>
                <w:sz w:val="16"/>
                <w:szCs w:val="16"/>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402D50" w:rsidRDefault="00FC057A" w:rsidP="00402D50">
            <w:pPr>
              <w:jc w:val="center"/>
              <w:rPr>
                <w:rFonts w:ascii="Calibri" w:hAnsi="Calibri"/>
                <w:sz w:val="18"/>
                <w:szCs w:val="18"/>
              </w:rPr>
            </w:pPr>
            <w:r w:rsidRPr="00656575">
              <w:rPr>
                <w:rFonts w:ascii="Calibri" w:hAnsi="Calibri"/>
                <w:sz w:val="18"/>
                <w:szCs w:val="18"/>
              </w:rPr>
              <w:t xml:space="preserve">*If Math was the second functional area identified </w:t>
            </w:r>
          </w:p>
          <w:p w:rsidR="00402D50" w:rsidRDefault="00FC057A" w:rsidP="00402D50">
            <w:pPr>
              <w:jc w:val="center"/>
              <w:rPr>
                <w:rFonts w:ascii="Calibri" w:hAnsi="Calibri"/>
                <w:sz w:val="18"/>
                <w:szCs w:val="18"/>
              </w:rPr>
            </w:pPr>
            <w:r w:rsidRPr="00656575">
              <w:rPr>
                <w:rFonts w:ascii="Calibri" w:hAnsi="Calibri"/>
                <w:sz w:val="18"/>
                <w:szCs w:val="18"/>
              </w:rPr>
              <w:t xml:space="preserve">for a basic skills deficient youth, WIASRD Items 716—729 </w:t>
            </w:r>
          </w:p>
          <w:p w:rsidR="00004E6D" w:rsidRPr="00656575" w:rsidRDefault="00FC057A" w:rsidP="00402D50">
            <w:pPr>
              <w:jc w:val="center"/>
              <w:rPr>
                <w:rFonts w:ascii="Calibri" w:hAnsi="Calibri"/>
                <w:sz w:val="18"/>
                <w:szCs w:val="18"/>
              </w:rPr>
            </w:pPr>
            <w:proofErr w:type="gramStart"/>
            <w:r w:rsidRPr="00656575">
              <w:rPr>
                <w:rFonts w:ascii="Calibri" w:hAnsi="Calibri"/>
                <w:sz w:val="18"/>
                <w:szCs w:val="18"/>
              </w:rPr>
              <w:t>would</w:t>
            </w:r>
            <w:proofErr w:type="gramEnd"/>
            <w:r w:rsidRPr="00656575">
              <w:rPr>
                <w:rFonts w:ascii="Calibri" w:hAnsi="Calibri"/>
                <w:sz w:val="18"/>
                <w:szCs w:val="18"/>
              </w:rPr>
              <w:t xml:space="preserve"> be utilized to track assessment results and </w:t>
            </w:r>
            <w:r w:rsidR="00004E6D" w:rsidRPr="00656575">
              <w:rPr>
                <w:rFonts w:ascii="Calibri" w:hAnsi="Calibri"/>
                <w:sz w:val="18"/>
                <w:szCs w:val="18"/>
              </w:rPr>
              <w:t xml:space="preserve">the </w:t>
            </w:r>
            <w:r w:rsidRPr="00656575">
              <w:rPr>
                <w:rFonts w:ascii="Calibri" w:hAnsi="Calibri"/>
                <w:sz w:val="18"/>
                <w:szCs w:val="18"/>
              </w:rPr>
              <w:t>associated dates for up to three years.</w:t>
            </w:r>
          </w:p>
          <w:p w:rsidR="00004E6D" w:rsidRPr="00656575" w:rsidRDefault="00004E6D" w:rsidP="00402D50">
            <w:pPr>
              <w:jc w:val="center"/>
              <w:rPr>
                <w:rFonts w:ascii="Calibri" w:hAnsi="Calibri"/>
                <w:sz w:val="18"/>
                <w:szCs w:val="18"/>
              </w:rPr>
            </w:pPr>
          </w:p>
          <w:p w:rsidR="00402D50" w:rsidRDefault="00004E6D" w:rsidP="00402D50">
            <w:pPr>
              <w:jc w:val="center"/>
              <w:rPr>
                <w:rFonts w:ascii="Calibri" w:hAnsi="Calibri"/>
                <w:sz w:val="18"/>
                <w:szCs w:val="18"/>
              </w:rPr>
            </w:pPr>
            <w:r w:rsidRPr="00656575">
              <w:rPr>
                <w:rFonts w:ascii="Calibri" w:hAnsi="Calibri"/>
                <w:sz w:val="18"/>
                <w:szCs w:val="18"/>
              </w:rPr>
              <w:t xml:space="preserve">Item 718 would be the pre-test date for the second </w:t>
            </w:r>
          </w:p>
          <w:p w:rsidR="00402D50" w:rsidRDefault="00004E6D" w:rsidP="00402D50">
            <w:pPr>
              <w:jc w:val="center"/>
              <w:rPr>
                <w:rFonts w:ascii="Calibri" w:hAnsi="Calibri"/>
                <w:sz w:val="18"/>
                <w:szCs w:val="18"/>
              </w:rPr>
            </w:pPr>
            <w:r w:rsidRPr="00656575">
              <w:rPr>
                <w:rFonts w:ascii="Calibri" w:hAnsi="Calibri"/>
                <w:sz w:val="18"/>
                <w:szCs w:val="18"/>
              </w:rPr>
              <w:t xml:space="preserve">functional area in the same way Item 704 is </w:t>
            </w:r>
          </w:p>
          <w:p w:rsidR="00FC057A" w:rsidRPr="00656575" w:rsidRDefault="00004E6D" w:rsidP="00402D50">
            <w:pPr>
              <w:jc w:val="center"/>
              <w:rPr>
                <w:rFonts w:ascii="Calibri" w:hAnsi="Calibri"/>
                <w:sz w:val="18"/>
                <w:szCs w:val="18"/>
              </w:rPr>
            </w:pPr>
            <w:r w:rsidRPr="00656575">
              <w:rPr>
                <w:rFonts w:ascii="Calibri" w:hAnsi="Calibri"/>
                <w:sz w:val="18"/>
                <w:szCs w:val="18"/>
              </w:rPr>
              <w:t>the pre-test date for the first functional area.</w:t>
            </w:r>
          </w:p>
        </w:tc>
      </w:tr>
    </w:tbl>
    <w:p w:rsidR="00765DB6" w:rsidRDefault="00C83160" w:rsidP="00570D10">
      <w:r>
        <w:rPr>
          <w:noProof/>
        </w:rPr>
        <w:pict>
          <v:shape id="_x0000_s1043" type="#_x0000_t202" style="position:absolute;margin-left:-4.2pt;margin-top:10.3pt;width:535.5pt;height:28.1pt;z-index:251680768;mso-position-horizontal-relative:text;mso-position-vertical-relative:text;mso-width-relative:margin;mso-height-relative:margin" fillcolor="#943634 [2405]" strokecolor="#943634 [2405]" strokeweight="2.25pt">
            <v:textbox style="mso-next-textbox:#_x0000_s1043">
              <w:txbxContent>
                <w:p w:rsidR="00283480" w:rsidRPr="006D3163" w:rsidRDefault="00283480" w:rsidP="00E16817">
                  <w:pPr>
                    <w:rPr>
                      <w:rFonts w:ascii="Arial Narrow" w:hAnsi="Arial Narrow"/>
                      <w:b/>
                      <w:i/>
                      <w:smallCaps/>
                      <w:shadow/>
                      <w:color w:val="F2DBDB" w:themeColor="accent2" w:themeTint="33"/>
                      <w:sz w:val="36"/>
                      <w:szCs w:val="36"/>
                    </w:rPr>
                  </w:pPr>
                  <w:r>
                    <w:rPr>
                      <w:rFonts w:ascii="Arial Narrow" w:hAnsi="Arial Narrow"/>
                      <w:b/>
                      <w:i/>
                      <w:caps/>
                      <w:shadow/>
                      <w:color w:val="F2DBDB" w:themeColor="accent2" w:themeTint="33"/>
                      <w:sz w:val="36"/>
                      <w:szCs w:val="36"/>
                    </w:rPr>
                    <w:t>6. Q</w:t>
                  </w:r>
                  <w:r>
                    <w:rPr>
                      <w:rFonts w:ascii="Arial Narrow" w:hAnsi="Arial Narrow"/>
                      <w:b/>
                      <w:i/>
                      <w:smallCaps/>
                      <w:shadow/>
                      <w:color w:val="F2DBDB" w:themeColor="accent2" w:themeTint="33"/>
                      <w:sz w:val="36"/>
                      <w:szCs w:val="36"/>
                    </w:rPr>
                    <w:t xml:space="preserve">uestions &amp; Answers </w:t>
                  </w:r>
                </w:p>
              </w:txbxContent>
            </v:textbox>
          </v:shape>
        </w:pict>
      </w:r>
    </w:p>
    <w:p w:rsidR="00570D10" w:rsidRDefault="00570D10" w:rsidP="00570D10"/>
    <w:p w:rsidR="00E16817" w:rsidRDefault="00E16817" w:rsidP="00570D10"/>
    <w:p w:rsidR="00570D10" w:rsidRPr="000C19C2" w:rsidRDefault="00570D10" w:rsidP="005062D1">
      <w:pPr>
        <w:pStyle w:val="ListParagraph"/>
        <w:numPr>
          <w:ilvl w:val="0"/>
          <w:numId w:val="14"/>
        </w:numPr>
        <w:spacing w:line="240" w:lineRule="auto"/>
        <w:jc w:val="both"/>
        <w:rPr>
          <w:sz w:val="20"/>
          <w:szCs w:val="20"/>
        </w:rPr>
      </w:pPr>
      <w:r w:rsidRPr="000C19C2">
        <w:rPr>
          <w:b/>
          <w:sz w:val="20"/>
          <w:szCs w:val="20"/>
        </w:rPr>
        <w:t xml:space="preserve">What happens if there is no pre-test available </w:t>
      </w:r>
      <w:r w:rsidR="00E7284E">
        <w:rPr>
          <w:b/>
          <w:sz w:val="20"/>
          <w:szCs w:val="20"/>
        </w:rPr>
        <w:t xml:space="preserve">within 6 months before FYS </w:t>
      </w:r>
      <w:r w:rsidRPr="000C19C2">
        <w:rPr>
          <w:b/>
          <w:sz w:val="20"/>
          <w:szCs w:val="20"/>
        </w:rPr>
        <w:t xml:space="preserve">and a pre-test is not given within 60 days of first youth service?  </w:t>
      </w:r>
      <w:r w:rsidR="00F63C4B" w:rsidRPr="000C19C2">
        <w:rPr>
          <w:b/>
          <w:sz w:val="20"/>
          <w:szCs w:val="20"/>
        </w:rPr>
        <w:t>Is there a penalty?   Similarly, what if the local program doesn’t realize they are lacking the pre-test until the anniversary date; what should they do?</w:t>
      </w:r>
      <w:r w:rsidR="00F63C4B" w:rsidRPr="000C19C2">
        <w:rPr>
          <w:sz w:val="20"/>
          <w:szCs w:val="20"/>
        </w:rPr>
        <w:t xml:space="preserve">  </w:t>
      </w:r>
      <w:r w:rsidR="00242691" w:rsidRPr="000C19C2">
        <w:rPr>
          <w:i/>
          <w:sz w:val="20"/>
          <w:szCs w:val="20"/>
        </w:rPr>
        <w:t xml:space="preserve">ETA’s policy is that youth should be pre-tested within 60 days of the date of first youth service (FYS).  If they do not pre-test within the 60 days, the only penalty is that the youth will have less time </w:t>
      </w:r>
      <w:r w:rsidRPr="000C19C2">
        <w:rPr>
          <w:i/>
          <w:sz w:val="20"/>
          <w:szCs w:val="20"/>
        </w:rPr>
        <w:t>to achieve an educational gain.</w:t>
      </w:r>
      <w:r w:rsidR="00242691" w:rsidRPr="000C19C2">
        <w:rPr>
          <w:i/>
          <w:sz w:val="20"/>
          <w:szCs w:val="20"/>
        </w:rPr>
        <w:t xml:space="preserve">  If the youth does not post-test at all before the anniversary date and the youth is basic skills deficient, they automatically fail the measure for that year.  If the youth remains in the program, they should be pre-tested as soon as possible; otherwise, they will continue to fail the measure for the second year if they remain in the program for a full second year.  The bottom line is to pre-test as soon as possible, even if it’s past the 60-day timeframe.  Ideally, states have in place a system to notify staff that a pre-test has not been given in order to prompt staff to do so.</w:t>
      </w:r>
      <w:r w:rsidR="00242691" w:rsidRPr="000C19C2">
        <w:rPr>
          <w:sz w:val="20"/>
          <w:szCs w:val="20"/>
        </w:rPr>
        <w:t xml:space="preserve"> </w:t>
      </w:r>
    </w:p>
    <w:p w:rsidR="00E16817" w:rsidRPr="000C19C2" w:rsidRDefault="00E16817" w:rsidP="005062D1">
      <w:pPr>
        <w:pStyle w:val="ListParagraph"/>
        <w:spacing w:line="240" w:lineRule="auto"/>
        <w:ind w:left="360"/>
        <w:jc w:val="both"/>
        <w:rPr>
          <w:sz w:val="20"/>
          <w:szCs w:val="20"/>
        </w:rPr>
      </w:pPr>
    </w:p>
    <w:p w:rsidR="00570D10" w:rsidRPr="000C19C2" w:rsidRDefault="003F02C9" w:rsidP="005062D1">
      <w:pPr>
        <w:pStyle w:val="ListParagraph"/>
        <w:numPr>
          <w:ilvl w:val="0"/>
          <w:numId w:val="14"/>
        </w:numPr>
        <w:spacing w:line="240" w:lineRule="auto"/>
        <w:jc w:val="both"/>
        <w:rPr>
          <w:i/>
          <w:sz w:val="20"/>
          <w:szCs w:val="20"/>
        </w:rPr>
      </w:pPr>
      <w:r w:rsidRPr="000C19C2">
        <w:rPr>
          <w:b/>
          <w:sz w:val="20"/>
          <w:szCs w:val="20"/>
        </w:rPr>
        <w:t>If a basic skills deficient youth achieved a Lit/Num gain within their first year of participation but exited before their one-year anniversary date, would they count in the measure?</w:t>
      </w:r>
      <w:r w:rsidRPr="000C19C2">
        <w:rPr>
          <w:sz w:val="20"/>
          <w:szCs w:val="20"/>
        </w:rPr>
        <w:t xml:space="preserve">  </w:t>
      </w:r>
      <w:r w:rsidR="00E7284E">
        <w:rPr>
          <w:i/>
          <w:sz w:val="20"/>
          <w:szCs w:val="20"/>
        </w:rPr>
        <w:t xml:space="preserve">Yes.  </w:t>
      </w:r>
      <w:r w:rsidRPr="000C19C2">
        <w:rPr>
          <w:i/>
          <w:sz w:val="20"/>
          <w:szCs w:val="20"/>
        </w:rPr>
        <w:t xml:space="preserve">A youth who is basic skills deficient is </w:t>
      </w:r>
      <w:r w:rsidR="00921E91" w:rsidRPr="000C19C2">
        <w:rPr>
          <w:i/>
          <w:sz w:val="20"/>
          <w:szCs w:val="20"/>
        </w:rPr>
        <w:t xml:space="preserve">included </w:t>
      </w:r>
      <w:r w:rsidRPr="000C19C2">
        <w:rPr>
          <w:i/>
          <w:sz w:val="20"/>
          <w:szCs w:val="20"/>
        </w:rPr>
        <w:t xml:space="preserve">in the Lit/Num denominator in their first year, regardless of when they exit.  In this scenario, the youth would be in </w:t>
      </w:r>
      <w:r w:rsidR="00A16DF6">
        <w:rPr>
          <w:i/>
          <w:sz w:val="20"/>
          <w:szCs w:val="20"/>
        </w:rPr>
        <w:t xml:space="preserve">both </w:t>
      </w:r>
      <w:r w:rsidRPr="000C19C2">
        <w:rPr>
          <w:i/>
          <w:sz w:val="20"/>
          <w:szCs w:val="20"/>
        </w:rPr>
        <w:t xml:space="preserve">the numerator and denominator.  </w:t>
      </w:r>
      <w:r w:rsidR="00023527">
        <w:rPr>
          <w:i/>
          <w:sz w:val="20"/>
          <w:szCs w:val="20"/>
        </w:rPr>
        <w:t xml:space="preserve">(However, they are included in the numerator and denominator based on the anniversary date (FYS + 365), not the exit date.)  </w:t>
      </w:r>
      <w:r w:rsidRPr="000C19C2">
        <w:rPr>
          <w:i/>
          <w:sz w:val="20"/>
          <w:szCs w:val="20"/>
        </w:rPr>
        <w:t>A youth would not be in the denominator a second time unless they completed a second full year.</w:t>
      </w:r>
    </w:p>
    <w:p w:rsidR="00062AFA" w:rsidRPr="000C19C2" w:rsidRDefault="00062AFA" w:rsidP="005062D1">
      <w:pPr>
        <w:jc w:val="both"/>
        <w:rPr>
          <w:sz w:val="20"/>
          <w:szCs w:val="20"/>
        </w:rPr>
      </w:pPr>
    </w:p>
    <w:p w:rsidR="007C19C5" w:rsidRPr="000C19C2" w:rsidRDefault="008514EC" w:rsidP="005062D1">
      <w:pPr>
        <w:pStyle w:val="Default"/>
        <w:numPr>
          <w:ilvl w:val="0"/>
          <w:numId w:val="14"/>
        </w:numPr>
        <w:jc w:val="both"/>
        <w:rPr>
          <w:rFonts w:asciiTheme="minorHAnsi" w:hAnsiTheme="minorHAnsi"/>
          <w:i/>
          <w:sz w:val="20"/>
          <w:szCs w:val="20"/>
        </w:rPr>
      </w:pPr>
      <w:r w:rsidRPr="000C19C2">
        <w:rPr>
          <w:rFonts w:asciiTheme="minorHAnsi" w:hAnsiTheme="minorHAnsi"/>
          <w:b/>
          <w:sz w:val="20"/>
          <w:szCs w:val="20"/>
        </w:rPr>
        <w:t xml:space="preserve">If a youth remains in the program or a partner program after one full year, does the youth have to pre-test again? </w:t>
      </w:r>
      <w:r w:rsidR="00062AFA" w:rsidRPr="000C19C2">
        <w:rPr>
          <w:rFonts w:asciiTheme="minorHAnsi" w:hAnsiTheme="minorHAnsi"/>
          <w:sz w:val="20"/>
          <w:szCs w:val="20"/>
        </w:rPr>
        <w:t xml:space="preserve"> </w:t>
      </w:r>
      <w:r w:rsidR="00E7284E">
        <w:rPr>
          <w:rFonts w:asciiTheme="minorHAnsi" w:hAnsiTheme="minorHAnsi"/>
          <w:i/>
          <w:sz w:val="20"/>
          <w:szCs w:val="20"/>
        </w:rPr>
        <w:t xml:space="preserve">No. </w:t>
      </w:r>
      <w:r w:rsidRPr="000C19C2">
        <w:rPr>
          <w:rFonts w:asciiTheme="minorHAnsi" w:hAnsiTheme="minorHAnsi"/>
          <w:i/>
          <w:sz w:val="20"/>
          <w:szCs w:val="20"/>
        </w:rPr>
        <w:t xml:space="preserve">If a youth remains in the program, or a partner program, after one full year, the post-test of the first year becomes the pre-test for the second participation year (and so on through the third year). If no post-test was given for the first year, the pre-test for the first year remains the pre-test for the second year. </w:t>
      </w:r>
    </w:p>
    <w:p w:rsidR="001D45FF" w:rsidRPr="000C19C2" w:rsidRDefault="001D45FF" w:rsidP="005062D1">
      <w:pPr>
        <w:pStyle w:val="ListParagraph"/>
        <w:spacing w:line="240" w:lineRule="auto"/>
        <w:ind w:left="360"/>
        <w:jc w:val="both"/>
        <w:rPr>
          <w:sz w:val="20"/>
          <w:szCs w:val="20"/>
        </w:rPr>
      </w:pPr>
    </w:p>
    <w:p w:rsidR="001D45FF" w:rsidRPr="00A16DF6" w:rsidRDefault="007C19C5" w:rsidP="005062D1">
      <w:pPr>
        <w:pStyle w:val="ListParagraph"/>
        <w:numPr>
          <w:ilvl w:val="0"/>
          <w:numId w:val="14"/>
        </w:numPr>
        <w:spacing w:line="240" w:lineRule="auto"/>
        <w:jc w:val="both"/>
        <w:rPr>
          <w:sz w:val="20"/>
          <w:szCs w:val="20"/>
        </w:rPr>
      </w:pPr>
      <w:r w:rsidRPr="000C19C2">
        <w:rPr>
          <w:b/>
          <w:sz w:val="20"/>
          <w:szCs w:val="20"/>
        </w:rPr>
        <w:t>If a youth is not proficient in English, must he/she be assessed in literacy and numeracy?</w:t>
      </w:r>
      <w:r w:rsidRPr="000C19C2">
        <w:rPr>
          <w:sz w:val="20"/>
          <w:szCs w:val="20"/>
        </w:rPr>
        <w:t xml:space="preserve"> </w:t>
      </w:r>
      <w:r w:rsidR="00062AFA" w:rsidRPr="000C19C2">
        <w:rPr>
          <w:sz w:val="20"/>
          <w:szCs w:val="20"/>
        </w:rPr>
        <w:t xml:space="preserve"> </w:t>
      </w:r>
      <w:r w:rsidR="00E7284E">
        <w:rPr>
          <w:i/>
          <w:sz w:val="20"/>
          <w:szCs w:val="20"/>
        </w:rPr>
        <w:t xml:space="preserve">Yes.  </w:t>
      </w:r>
      <w:r w:rsidR="008514EC" w:rsidRPr="000C19C2">
        <w:rPr>
          <w:i/>
          <w:sz w:val="20"/>
          <w:szCs w:val="20"/>
        </w:rPr>
        <w:t xml:space="preserve">TEGL 17-05 requires all out-of-school youth to be assessed in basic reading/writing and math within 60 days following the date of </w:t>
      </w:r>
      <w:r w:rsidR="000C19C2" w:rsidRPr="000C19C2">
        <w:rPr>
          <w:i/>
          <w:sz w:val="20"/>
          <w:szCs w:val="20"/>
        </w:rPr>
        <w:t>FYS</w:t>
      </w:r>
      <w:r w:rsidR="008514EC" w:rsidRPr="000C19C2">
        <w:rPr>
          <w:i/>
          <w:sz w:val="20"/>
          <w:szCs w:val="20"/>
        </w:rPr>
        <w:t xml:space="preserve">, which includes Limited English Proficient (LEP) youth. States and local programs with questions regarding testing LEP youth should consult with the publishers of approved tests to identify appropriate assessment instruments. </w:t>
      </w:r>
    </w:p>
    <w:p w:rsidR="000B2A68" w:rsidRPr="000C19C2" w:rsidRDefault="008514EC" w:rsidP="005062D1">
      <w:pPr>
        <w:pStyle w:val="Default"/>
        <w:numPr>
          <w:ilvl w:val="0"/>
          <w:numId w:val="14"/>
        </w:numPr>
        <w:jc w:val="both"/>
        <w:rPr>
          <w:rFonts w:asciiTheme="minorHAnsi" w:hAnsiTheme="minorHAnsi"/>
          <w:sz w:val="20"/>
          <w:szCs w:val="20"/>
        </w:rPr>
      </w:pPr>
      <w:r w:rsidRPr="000C19C2">
        <w:rPr>
          <w:rFonts w:asciiTheme="minorHAnsi" w:hAnsiTheme="minorHAnsi"/>
          <w:b/>
          <w:sz w:val="20"/>
          <w:szCs w:val="20"/>
        </w:rPr>
        <w:lastRenderedPageBreak/>
        <w:t>If a</w:t>
      </w:r>
      <w:r w:rsidR="000F7E78">
        <w:rPr>
          <w:rFonts w:asciiTheme="minorHAnsi" w:hAnsiTheme="minorHAnsi"/>
          <w:b/>
          <w:sz w:val="20"/>
          <w:szCs w:val="20"/>
        </w:rPr>
        <w:t>n out-of-school</w:t>
      </w:r>
      <w:r w:rsidRPr="000C19C2">
        <w:rPr>
          <w:rFonts w:asciiTheme="minorHAnsi" w:hAnsiTheme="minorHAnsi"/>
          <w:b/>
          <w:sz w:val="20"/>
          <w:szCs w:val="20"/>
        </w:rPr>
        <w:t xml:space="preserve"> youth is reported as basic skills deficient, is it necessary to report the pre-test EFL scores as well?</w:t>
      </w:r>
      <w:r w:rsidR="00062AFA" w:rsidRPr="000C19C2">
        <w:rPr>
          <w:rFonts w:asciiTheme="minorHAnsi" w:hAnsiTheme="minorHAnsi"/>
          <w:b/>
          <w:sz w:val="20"/>
          <w:szCs w:val="20"/>
        </w:rPr>
        <w:t xml:space="preserve"> </w:t>
      </w:r>
      <w:r w:rsidRPr="000C19C2">
        <w:rPr>
          <w:rFonts w:asciiTheme="minorHAnsi" w:hAnsiTheme="minorHAnsi"/>
          <w:sz w:val="20"/>
          <w:szCs w:val="20"/>
        </w:rPr>
        <w:t xml:space="preserve"> </w:t>
      </w:r>
      <w:r w:rsidR="00776BFE">
        <w:rPr>
          <w:rFonts w:asciiTheme="minorHAnsi" w:hAnsiTheme="minorHAnsi"/>
          <w:i/>
          <w:sz w:val="20"/>
          <w:szCs w:val="20"/>
        </w:rPr>
        <w:t>Yes</w:t>
      </w:r>
      <w:r w:rsidR="00E7284E">
        <w:rPr>
          <w:rFonts w:asciiTheme="minorHAnsi" w:hAnsiTheme="minorHAnsi"/>
          <w:i/>
          <w:sz w:val="20"/>
          <w:szCs w:val="20"/>
        </w:rPr>
        <w:t>.  Y</w:t>
      </w:r>
      <w:r w:rsidRPr="000C19C2">
        <w:rPr>
          <w:rFonts w:asciiTheme="minorHAnsi" w:hAnsiTheme="minorHAnsi"/>
          <w:i/>
          <w:sz w:val="20"/>
          <w:szCs w:val="20"/>
        </w:rPr>
        <w:t xml:space="preserve">outh reported as basic skills deficient </w:t>
      </w:r>
      <w:r w:rsidR="000F6D6A">
        <w:rPr>
          <w:rFonts w:asciiTheme="minorHAnsi" w:hAnsiTheme="minorHAnsi"/>
          <w:i/>
          <w:sz w:val="20"/>
          <w:szCs w:val="20"/>
        </w:rPr>
        <w:t>should</w:t>
      </w:r>
      <w:r w:rsidRPr="000C19C2">
        <w:rPr>
          <w:rFonts w:asciiTheme="minorHAnsi" w:hAnsiTheme="minorHAnsi"/>
          <w:i/>
          <w:sz w:val="20"/>
          <w:szCs w:val="20"/>
        </w:rPr>
        <w:t xml:space="preserve"> have their pre-test EFL scores </w:t>
      </w:r>
      <w:r w:rsidR="002D3096">
        <w:rPr>
          <w:rFonts w:asciiTheme="minorHAnsi" w:hAnsiTheme="minorHAnsi"/>
          <w:i/>
          <w:sz w:val="20"/>
          <w:szCs w:val="20"/>
        </w:rPr>
        <w:t>reported</w:t>
      </w:r>
      <w:r w:rsidRPr="000C19C2">
        <w:rPr>
          <w:rFonts w:asciiTheme="minorHAnsi" w:hAnsiTheme="minorHAnsi"/>
          <w:i/>
          <w:sz w:val="20"/>
          <w:szCs w:val="20"/>
        </w:rPr>
        <w:t xml:space="preserve">. Reporting a youth as basic skills deficient in WIASRD Element #130 (coded 1 for YES) </w:t>
      </w:r>
      <w:r w:rsidR="000F6D6A">
        <w:rPr>
          <w:rFonts w:asciiTheme="minorHAnsi" w:hAnsiTheme="minorHAnsi"/>
          <w:i/>
          <w:sz w:val="20"/>
          <w:szCs w:val="20"/>
        </w:rPr>
        <w:t xml:space="preserve">is the “trigger” for inclusion in the measure </w:t>
      </w:r>
      <w:r w:rsidR="002D3096" w:rsidRPr="002D3096">
        <w:rPr>
          <w:rFonts w:asciiTheme="minorHAnsi" w:hAnsiTheme="minorHAnsi"/>
          <w:i/>
          <w:sz w:val="20"/>
          <w:szCs w:val="20"/>
          <w:u w:val="single"/>
        </w:rPr>
        <w:t>unless</w:t>
      </w:r>
      <w:r w:rsidR="002D3096">
        <w:rPr>
          <w:rFonts w:asciiTheme="minorHAnsi" w:hAnsiTheme="minorHAnsi"/>
          <w:i/>
          <w:sz w:val="20"/>
          <w:szCs w:val="20"/>
        </w:rPr>
        <w:t xml:space="preserve"> an EFL above 6 is recorded (i.e., an EFL of 7 or 8 would indicate the youth is not basic skills deficient).  Thus, the information should always be recorded and, in the case of basic skills proficient youth, local staff who do not record the 7 or 8 EFL will unwittingly be placing these youth in the denominator, translating into an automatic negative outcome for a youth who should not have even been included in the calculation in the first place.</w:t>
      </w:r>
      <w:r w:rsidR="00C12A8A">
        <w:rPr>
          <w:rFonts w:asciiTheme="minorHAnsi" w:hAnsiTheme="minorHAnsi"/>
          <w:i/>
          <w:sz w:val="20"/>
          <w:szCs w:val="20"/>
        </w:rPr>
        <w:t xml:space="preserve"> </w:t>
      </w:r>
    </w:p>
    <w:p w:rsidR="005062D1" w:rsidRPr="000C19C2" w:rsidRDefault="005062D1" w:rsidP="005062D1">
      <w:pPr>
        <w:pStyle w:val="ListParagraph"/>
        <w:rPr>
          <w:sz w:val="20"/>
          <w:szCs w:val="20"/>
        </w:rPr>
      </w:pPr>
    </w:p>
    <w:p w:rsidR="00AD3027" w:rsidRPr="000C19C2" w:rsidRDefault="005062D1" w:rsidP="005062D1">
      <w:pPr>
        <w:pStyle w:val="Default"/>
        <w:numPr>
          <w:ilvl w:val="0"/>
          <w:numId w:val="14"/>
        </w:numPr>
        <w:jc w:val="both"/>
        <w:rPr>
          <w:rFonts w:asciiTheme="minorHAnsi" w:hAnsiTheme="minorHAnsi"/>
          <w:sz w:val="20"/>
          <w:szCs w:val="20"/>
        </w:rPr>
      </w:pPr>
      <w:r w:rsidRPr="000C19C2">
        <w:rPr>
          <w:rFonts w:asciiTheme="minorHAnsi" w:hAnsiTheme="minorHAnsi"/>
          <w:b/>
          <w:sz w:val="20"/>
          <w:szCs w:val="20"/>
        </w:rPr>
        <w:t xml:space="preserve">Is there a need to test youth for basic skills deficiency even if the youth </w:t>
      </w:r>
      <w:r w:rsidR="00D07B5B" w:rsidRPr="000C19C2">
        <w:rPr>
          <w:rFonts w:asciiTheme="minorHAnsi" w:hAnsiTheme="minorHAnsi"/>
          <w:b/>
          <w:sz w:val="20"/>
          <w:szCs w:val="20"/>
        </w:rPr>
        <w:t xml:space="preserve">attends or </w:t>
      </w:r>
      <w:r w:rsidRPr="000C19C2">
        <w:rPr>
          <w:rFonts w:asciiTheme="minorHAnsi" w:hAnsiTheme="minorHAnsi"/>
          <w:b/>
          <w:sz w:val="20"/>
          <w:szCs w:val="20"/>
        </w:rPr>
        <w:t>attended college?</w:t>
      </w:r>
      <w:r w:rsidR="00AD3027" w:rsidRPr="000C19C2">
        <w:rPr>
          <w:rFonts w:asciiTheme="minorHAnsi" w:hAnsiTheme="minorHAnsi"/>
          <w:b/>
          <w:sz w:val="20"/>
          <w:szCs w:val="20"/>
        </w:rPr>
        <w:t xml:space="preserve"> </w:t>
      </w:r>
      <w:r w:rsidR="00AD3027" w:rsidRPr="000C19C2">
        <w:rPr>
          <w:rFonts w:asciiTheme="minorHAnsi" w:hAnsiTheme="minorHAnsi"/>
          <w:sz w:val="20"/>
          <w:szCs w:val="20"/>
        </w:rPr>
        <w:t xml:space="preserve"> </w:t>
      </w:r>
      <w:r w:rsidR="00E7284E">
        <w:rPr>
          <w:rFonts w:asciiTheme="minorHAnsi" w:hAnsiTheme="minorHAnsi"/>
          <w:i/>
          <w:sz w:val="20"/>
          <w:szCs w:val="20"/>
        </w:rPr>
        <w:t xml:space="preserve">Yes.  </w:t>
      </w:r>
      <w:r w:rsidR="00AD3027" w:rsidRPr="000C19C2">
        <w:rPr>
          <w:rFonts w:asciiTheme="minorHAnsi" w:hAnsiTheme="minorHAnsi"/>
          <w:i/>
          <w:sz w:val="20"/>
          <w:szCs w:val="20"/>
        </w:rPr>
        <w:t>All out-of-school youth must be tested for basic skills deficiency</w:t>
      </w:r>
      <w:r w:rsidR="00D07B5B" w:rsidRPr="000C19C2">
        <w:rPr>
          <w:rFonts w:asciiTheme="minorHAnsi" w:hAnsiTheme="minorHAnsi"/>
          <w:i/>
          <w:sz w:val="20"/>
          <w:szCs w:val="20"/>
        </w:rPr>
        <w:t xml:space="preserve"> (see </w:t>
      </w:r>
      <w:r w:rsidR="00242691" w:rsidRPr="000C19C2">
        <w:rPr>
          <w:rFonts w:asciiTheme="minorHAnsi" w:hAnsiTheme="minorHAnsi"/>
          <w:i/>
          <w:sz w:val="20"/>
          <w:szCs w:val="20"/>
        </w:rPr>
        <w:t>previous de</w:t>
      </w:r>
      <w:r w:rsidR="00D07B5B" w:rsidRPr="000C19C2">
        <w:rPr>
          <w:rFonts w:asciiTheme="minorHAnsi" w:hAnsiTheme="minorHAnsi"/>
          <w:i/>
          <w:sz w:val="20"/>
          <w:szCs w:val="20"/>
        </w:rPr>
        <w:t>finition for out-of-school youth)</w:t>
      </w:r>
      <w:r w:rsidR="00AD3027" w:rsidRPr="000C19C2">
        <w:rPr>
          <w:rFonts w:asciiTheme="minorHAnsi" w:hAnsiTheme="minorHAnsi"/>
          <w:i/>
          <w:sz w:val="20"/>
          <w:szCs w:val="20"/>
        </w:rPr>
        <w:t>. Prior attendance in post-secondary education does not preclude being basic skills deficient.</w:t>
      </w:r>
      <w:bookmarkStart w:id="0" w:name="_GoBack"/>
      <w:bookmarkEnd w:id="0"/>
      <w:r w:rsidR="00402D50" w:rsidRPr="000C19C2">
        <w:rPr>
          <w:rFonts w:asciiTheme="minorHAnsi" w:hAnsiTheme="minorHAnsi"/>
          <w:i/>
          <w:sz w:val="20"/>
          <w:szCs w:val="20"/>
        </w:rPr>
        <w:t xml:space="preserve"> </w:t>
      </w:r>
    </w:p>
    <w:p w:rsidR="00402D50" w:rsidRPr="000C19C2" w:rsidRDefault="00402D50" w:rsidP="00402D50">
      <w:pPr>
        <w:pStyle w:val="Default"/>
        <w:ind w:left="360"/>
        <w:jc w:val="both"/>
        <w:rPr>
          <w:rFonts w:asciiTheme="minorHAnsi" w:hAnsiTheme="minorHAnsi"/>
          <w:sz w:val="20"/>
          <w:szCs w:val="20"/>
        </w:rPr>
      </w:pPr>
    </w:p>
    <w:p w:rsidR="00402D50" w:rsidRDefault="00E7284E" w:rsidP="005062D1">
      <w:pPr>
        <w:pStyle w:val="Default"/>
        <w:numPr>
          <w:ilvl w:val="0"/>
          <w:numId w:val="14"/>
        </w:numPr>
        <w:jc w:val="both"/>
        <w:rPr>
          <w:rFonts w:asciiTheme="minorHAnsi" w:hAnsiTheme="minorHAnsi"/>
          <w:sz w:val="20"/>
          <w:szCs w:val="20"/>
        </w:rPr>
      </w:pPr>
      <w:r>
        <w:rPr>
          <w:rFonts w:asciiTheme="minorHAnsi" w:hAnsiTheme="minorHAnsi"/>
          <w:b/>
          <w:sz w:val="20"/>
          <w:szCs w:val="20"/>
        </w:rPr>
        <w:t xml:space="preserve">Are there </w:t>
      </w:r>
      <w:r w:rsidR="00242691" w:rsidRPr="000C19C2">
        <w:rPr>
          <w:rFonts w:asciiTheme="minorHAnsi" w:hAnsiTheme="minorHAnsi"/>
          <w:b/>
          <w:sz w:val="20"/>
          <w:szCs w:val="20"/>
        </w:rPr>
        <w:t xml:space="preserve">alternate testing/methods/strategies for Literacy/Numeracy as it pertains to </w:t>
      </w:r>
      <w:r w:rsidR="00B36383">
        <w:rPr>
          <w:rFonts w:asciiTheme="minorHAnsi" w:hAnsiTheme="minorHAnsi"/>
          <w:b/>
          <w:sz w:val="20"/>
          <w:szCs w:val="20"/>
        </w:rPr>
        <w:t>youth with disabilities</w:t>
      </w:r>
      <w:r w:rsidR="00242691" w:rsidRPr="000C19C2">
        <w:rPr>
          <w:rFonts w:asciiTheme="minorHAnsi" w:hAnsiTheme="minorHAnsi"/>
          <w:b/>
          <w:sz w:val="20"/>
          <w:szCs w:val="20"/>
        </w:rPr>
        <w:t>?</w:t>
      </w:r>
      <w:r w:rsidR="00242691" w:rsidRPr="000C19C2">
        <w:rPr>
          <w:rFonts w:asciiTheme="minorHAnsi" w:hAnsiTheme="minorHAnsi"/>
          <w:sz w:val="20"/>
          <w:szCs w:val="20"/>
        </w:rPr>
        <w:t xml:space="preserve">  </w:t>
      </w:r>
      <w:r>
        <w:rPr>
          <w:rFonts w:asciiTheme="minorHAnsi" w:hAnsiTheme="minorHAnsi"/>
          <w:i/>
          <w:sz w:val="20"/>
          <w:szCs w:val="20"/>
        </w:rPr>
        <w:t xml:space="preserve">Yes.  </w:t>
      </w:r>
      <w:r w:rsidR="00242691" w:rsidRPr="000C19C2">
        <w:rPr>
          <w:rFonts w:asciiTheme="minorHAnsi" w:hAnsiTheme="minorHAnsi"/>
          <w:i/>
          <w:sz w:val="20"/>
          <w:szCs w:val="20"/>
        </w:rPr>
        <w:t xml:space="preserve">When assessing </w:t>
      </w:r>
      <w:r w:rsidR="00B36383">
        <w:rPr>
          <w:rFonts w:asciiTheme="minorHAnsi" w:hAnsiTheme="minorHAnsi"/>
          <w:i/>
          <w:sz w:val="20"/>
          <w:szCs w:val="20"/>
        </w:rPr>
        <w:t>youth with disabilities</w:t>
      </w:r>
      <w:r w:rsidR="00242691" w:rsidRPr="000C19C2">
        <w:rPr>
          <w:rFonts w:asciiTheme="minorHAnsi" w:hAnsiTheme="minorHAnsi"/>
          <w:i/>
          <w:sz w:val="20"/>
          <w:szCs w:val="20"/>
        </w:rPr>
        <w:t>, reasonable accommodations must be provided.  It is important that accommodations be carefully selected based on the knowledge, skill or ability being tested because an accommodation may be valid for assessing some skills but not others.  ETA’s full policy on assessing youth with disabilities for Literacy/Numeracy is within TEGL 17-05 under the section “Testing Youth with Disabilities.”  In addition, ETA released specific guidance</w:t>
      </w:r>
      <w:r w:rsidR="00371363" w:rsidRPr="000C19C2">
        <w:rPr>
          <w:rFonts w:asciiTheme="minorHAnsi" w:hAnsiTheme="minorHAnsi"/>
          <w:i/>
          <w:sz w:val="20"/>
          <w:szCs w:val="20"/>
        </w:rPr>
        <w:t xml:space="preserve"> on “Increasing the Enrollment and Improving Services with Youth with Disabilities” through TEGL 31-10.  This policy guidance includes a list o</w:t>
      </w:r>
      <w:r w:rsidR="000C19C2">
        <w:rPr>
          <w:rFonts w:asciiTheme="minorHAnsi" w:hAnsiTheme="minorHAnsi"/>
          <w:i/>
          <w:sz w:val="20"/>
          <w:szCs w:val="20"/>
        </w:rPr>
        <w:t>f</w:t>
      </w:r>
      <w:r w:rsidR="00371363" w:rsidRPr="000C19C2">
        <w:rPr>
          <w:rFonts w:asciiTheme="minorHAnsi" w:hAnsiTheme="minorHAnsi"/>
          <w:i/>
          <w:sz w:val="20"/>
          <w:szCs w:val="20"/>
        </w:rPr>
        <w:t xml:space="preserve"> organizations and resources that can assist youth providers </w:t>
      </w:r>
      <w:r w:rsidR="000C19C2">
        <w:rPr>
          <w:rFonts w:asciiTheme="minorHAnsi" w:hAnsiTheme="minorHAnsi"/>
          <w:i/>
          <w:sz w:val="20"/>
          <w:szCs w:val="20"/>
        </w:rPr>
        <w:t>with</w:t>
      </w:r>
      <w:r w:rsidR="00371363" w:rsidRPr="000C19C2">
        <w:rPr>
          <w:rFonts w:asciiTheme="minorHAnsi" w:hAnsiTheme="minorHAnsi"/>
          <w:i/>
          <w:sz w:val="20"/>
          <w:szCs w:val="20"/>
        </w:rPr>
        <w:t xml:space="preserve"> the accurate assessment of youth who present with disabilities</w:t>
      </w:r>
      <w:r w:rsidR="0028759E">
        <w:rPr>
          <w:rFonts w:asciiTheme="minorHAnsi" w:hAnsiTheme="minorHAnsi"/>
          <w:i/>
          <w:sz w:val="20"/>
          <w:szCs w:val="20"/>
        </w:rPr>
        <w:t xml:space="preserve"> –</w:t>
      </w:r>
      <w:hyperlink r:id="rId13" w:history="1">
        <w:r w:rsidR="00371363" w:rsidRPr="00E7284E">
          <w:rPr>
            <w:rStyle w:val="Hyperlink"/>
            <w:rFonts w:asciiTheme="minorHAnsi" w:hAnsiTheme="minorHAnsi"/>
            <w:i/>
            <w:sz w:val="20"/>
            <w:szCs w:val="20"/>
          </w:rPr>
          <w:t>http://wdr.doleta.gov/directives/</w:t>
        </w:r>
        <w:r w:rsidR="000C19C2" w:rsidRPr="00E7284E">
          <w:rPr>
            <w:rStyle w:val="Hyperlink"/>
            <w:rFonts w:asciiTheme="minorHAnsi" w:hAnsiTheme="minorHAnsi"/>
            <w:i/>
            <w:sz w:val="20"/>
            <w:szCs w:val="20"/>
          </w:rPr>
          <w:t>at</w:t>
        </w:r>
        <w:r w:rsidR="00371363" w:rsidRPr="00E7284E">
          <w:rPr>
            <w:rStyle w:val="Hyperlink"/>
            <w:rFonts w:asciiTheme="minorHAnsi" w:hAnsiTheme="minorHAnsi"/>
            <w:i/>
            <w:sz w:val="20"/>
            <w:szCs w:val="20"/>
          </w:rPr>
          <w:t>tach/TEGL/TEGL31-10ACC.pdf</w:t>
        </w:r>
      </w:hyperlink>
      <w:r w:rsidR="00371363" w:rsidRPr="000C19C2">
        <w:rPr>
          <w:rFonts w:asciiTheme="minorHAnsi" w:hAnsiTheme="minorHAnsi"/>
          <w:i/>
          <w:sz w:val="20"/>
          <w:szCs w:val="20"/>
        </w:rPr>
        <w:t xml:space="preserve">. </w:t>
      </w:r>
      <w:r w:rsidR="00242691" w:rsidRPr="000C19C2">
        <w:rPr>
          <w:rFonts w:asciiTheme="minorHAnsi" w:hAnsiTheme="minorHAnsi"/>
          <w:sz w:val="20"/>
          <w:szCs w:val="20"/>
        </w:rPr>
        <w:t xml:space="preserve">  </w:t>
      </w:r>
    </w:p>
    <w:p w:rsidR="0028759E" w:rsidRPr="000C19C2" w:rsidRDefault="0028759E" w:rsidP="0028759E">
      <w:pPr>
        <w:pStyle w:val="Default"/>
        <w:ind w:left="360"/>
        <w:jc w:val="both"/>
        <w:rPr>
          <w:rFonts w:asciiTheme="minorHAnsi" w:hAnsiTheme="minorHAnsi"/>
          <w:sz w:val="20"/>
          <w:szCs w:val="20"/>
        </w:rPr>
      </w:pPr>
    </w:p>
    <w:p w:rsidR="00371363" w:rsidRPr="000C19C2" w:rsidRDefault="00371363" w:rsidP="005062D1">
      <w:pPr>
        <w:pStyle w:val="Default"/>
        <w:numPr>
          <w:ilvl w:val="0"/>
          <w:numId w:val="14"/>
        </w:numPr>
        <w:jc w:val="both"/>
        <w:rPr>
          <w:rFonts w:asciiTheme="minorHAnsi" w:hAnsiTheme="minorHAnsi"/>
          <w:sz w:val="20"/>
          <w:szCs w:val="20"/>
        </w:rPr>
      </w:pPr>
      <w:r w:rsidRPr="0028759E">
        <w:rPr>
          <w:rFonts w:asciiTheme="minorHAnsi" w:hAnsiTheme="minorHAnsi"/>
          <w:b/>
          <w:sz w:val="20"/>
          <w:szCs w:val="20"/>
        </w:rPr>
        <w:t xml:space="preserve">What is a “success” for Literacy/Numeracy? </w:t>
      </w:r>
      <w:r w:rsidRPr="000C19C2">
        <w:rPr>
          <w:rFonts w:asciiTheme="minorHAnsi" w:hAnsiTheme="minorHAnsi"/>
          <w:sz w:val="20"/>
          <w:szCs w:val="20"/>
        </w:rPr>
        <w:t xml:space="preserve">  </w:t>
      </w:r>
      <w:r w:rsidR="00D34FD1" w:rsidRPr="0028759E">
        <w:rPr>
          <w:rFonts w:asciiTheme="minorHAnsi" w:hAnsiTheme="minorHAnsi"/>
          <w:i/>
          <w:sz w:val="20"/>
          <w:szCs w:val="20"/>
        </w:rPr>
        <w:t xml:space="preserve">A positive outcome would include youth who achieved an educational </w:t>
      </w:r>
      <w:r w:rsidR="00D34FD1">
        <w:rPr>
          <w:rFonts w:asciiTheme="minorHAnsi" w:hAnsiTheme="minorHAnsi"/>
          <w:i/>
          <w:sz w:val="20"/>
          <w:szCs w:val="20"/>
        </w:rPr>
        <w:t xml:space="preserve">functioning level </w:t>
      </w:r>
      <w:r w:rsidR="00D34FD1" w:rsidRPr="0028759E">
        <w:rPr>
          <w:rFonts w:asciiTheme="minorHAnsi" w:hAnsiTheme="minorHAnsi"/>
          <w:i/>
          <w:sz w:val="20"/>
          <w:szCs w:val="20"/>
        </w:rPr>
        <w:t xml:space="preserve">gain. </w:t>
      </w:r>
      <w:r w:rsidR="00D34FD1">
        <w:rPr>
          <w:rFonts w:asciiTheme="minorHAnsi" w:hAnsiTheme="minorHAnsi"/>
          <w:i/>
          <w:sz w:val="20"/>
          <w:szCs w:val="20"/>
        </w:rPr>
        <w:t>Overall s</w:t>
      </w:r>
      <w:r w:rsidRPr="0028759E">
        <w:rPr>
          <w:rFonts w:asciiTheme="minorHAnsi" w:hAnsiTheme="minorHAnsi"/>
          <w:i/>
          <w:sz w:val="20"/>
          <w:szCs w:val="20"/>
        </w:rPr>
        <w:t xml:space="preserve">uccess would be basic skills proficiency; in other words, youth are no longer basic skills deficient and, therefore, no longer included in the measure.    </w:t>
      </w:r>
    </w:p>
    <w:p w:rsidR="0028759E" w:rsidRDefault="0028759E" w:rsidP="0028759E">
      <w:pPr>
        <w:pStyle w:val="Default"/>
        <w:ind w:left="360"/>
        <w:jc w:val="both"/>
        <w:rPr>
          <w:rFonts w:asciiTheme="minorHAnsi" w:hAnsiTheme="minorHAnsi"/>
          <w:sz w:val="20"/>
          <w:szCs w:val="20"/>
        </w:rPr>
      </w:pPr>
    </w:p>
    <w:p w:rsidR="00D84BF0" w:rsidRPr="000A07C4" w:rsidRDefault="00D84BF0" w:rsidP="005062D1">
      <w:pPr>
        <w:pStyle w:val="Default"/>
        <w:numPr>
          <w:ilvl w:val="0"/>
          <w:numId w:val="14"/>
        </w:numPr>
        <w:jc w:val="both"/>
        <w:rPr>
          <w:rFonts w:asciiTheme="minorHAnsi" w:hAnsiTheme="minorHAnsi"/>
          <w:sz w:val="20"/>
          <w:szCs w:val="20"/>
        </w:rPr>
      </w:pPr>
      <w:r w:rsidRPr="0028759E">
        <w:rPr>
          <w:rFonts w:asciiTheme="minorHAnsi" w:hAnsiTheme="minorHAnsi"/>
          <w:b/>
          <w:sz w:val="20"/>
          <w:szCs w:val="20"/>
        </w:rPr>
        <w:t xml:space="preserve">What is the appropriate end date for participation years for the Literacy/Numeracy measure? </w:t>
      </w:r>
      <w:r w:rsidRPr="000C19C2">
        <w:rPr>
          <w:rFonts w:asciiTheme="minorHAnsi" w:hAnsiTheme="minorHAnsi"/>
          <w:sz w:val="20"/>
          <w:szCs w:val="20"/>
        </w:rPr>
        <w:t xml:space="preserve"> </w:t>
      </w:r>
      <w:r w:rsidRPr="0028759E">
        <w:rPr>
          <w:rFonts w:asciiTheme="minorHAnsi" w:hAnsiTheme="minorHAnsi"/>
          <w:i/>
          <w:sz w:val="20"/>
          <w:szCs w:val="20"/>
        </w:rPr>
        <w:t xml:space="preserve">Participation years end on the anniversary date.  For example, if the date of FYS is </w:t>
      </w:r>
      <w:r w:rsidR="00D34FD1">
        <w:rPr>
          <w:rFonts w:asciiTheme="minorHAnsi" w:hAnsiTheme="minorHAnsi"/>
          <w:i/>
          <w:sz w:val="20"/>
          <w:szCs w:val="20"/>
        </w:rPr>
        <w:t>6</w:t>
      </w:r>
      <w:r w:rsidRPr="0028759E">
        <w:rPr>
          <w:rFonts w:asciiTheme="minorHAnsi" w:hAnsiTheme="minorHAnsi"/>
          <w:i/>
          <w:sz w:val="20"/>
          <w:szCs w:val="20"/>
        </w:rPr>
        <w:t>/1</w:t>
      </w:r>
      <w:r w:rsidR="00D34FD1">
        <w:rPr>
          <w:rFonts w:asciiTheme="minorHAnsi" w:hAnsiTheme="minorHAnsi"/>
          <w:i/>
          <w:sz w:val="20"/>
          <w:szCs w:val="20"/>
        </w:rPr>
        <w:t>5</w:t>
      </w:r>
      <w:r w:rsidRPr="0028759E">
        <w:rPr>
          <w:rFonts w:asciiTheme="minorHAnsi" w:hAnsiTheme="minorHAnsi"/>
          <w:i/>
          <w:sz w:val="20"/>
          <w:szCs w:val="20"/>
        </w:rPr>
        <w:t xml:space="preserve">/11, then the youth must post-test on or before </w:t>
      </w:r>
      <w:r w:rsidR="00D34FD1">
        <w:rPr>
          <w:rFonts w:asciiTheme="minorHAnsi" w:hAnsiTheme="minorHAnsi"/>
          <w:i/>
          <w:sz w:val="20"/>
          <w:szCs w:val="20"/>
        </w:rPr>
        <w:t>6</w:t>
      </w:r>
      <w:r w:rsidRPr="0028759E">
        <w:rPr>
          <w:rFonts w:asciiTheme="minorHAnsi" w:hAnsiTheme="minorHAnsi"/>
          <w:i/>
          <w:sz w:val="20"/>
          <w:szCs w:val="20"/>
        </w:rPr>
        <w:t>/1</w:t>
      </w:r>
      <w:r w:rsidR="00D34FD1">
        <w:rPr>
          <w:rFonts w:asciiTheme="minorHAnsi" w:hAnsiTheme="minorHAnsi"/>
          <w:i/>
          <w:sz w:val="20"/>
          <w:szCs w:val="20"/>
        </w:rPr>
        <w:t>5</w:t>
      </w:r>
      <w:r w:rsidRPr="0028759E">
        <w:rPr>
          <w:rFonts w:asciiTheme="minorHAnsi" w:hAnsiTheme="minorHAnsi"/>
          <w:i/>
          <w:sz w:val="20"/>
          <w:szCs w:val="20"/>
        </w:rPr>
        <w:t xml:space="preserve">/12.  For this youth’s second year in the program, the youth must post-test on or before </w:t>
      </w:r>
      <w:r w:rsidR="00D34FD1">
        <w:rPr>
          <w:rFonts w:asciiTheme="minorHAnsi" w:hAnsiTheme="minorHAnsi"/>
          <w:i/>
          <w:sz w:val="20"/>
          <w:szCs w:val="20"/>
        </w:rPr>
        <w:t>6</w:t>
      </w:r>
      <w:r w:rsidRPr="0028759E">
        <w:rPr>
          <w:rFonts w:asciiTheme="minorHAnsi" w:hAnsiTheme="minorHAnsi"/>
          <w:i/>
          <w:sz w:val="20"/>
          <w:szCs w:val="20"/>
        </w:rPr>
        <w:t>/1</w:t>
      </w:r>
      <w:r w:rsidR="00D34FD1">
        <w:rPr>
          <w:rFonts w:asciiTheme="minorHAnsi" w:hAnsiTheme="minorHAnsi"/>
          <w:i/>
          <w:sz w:val="20"/>
          <w:szCs w:val="20"/>
        </w:rPr>
        <w:t>5</w:t>
      </w:r>
      <w:r w:rsidRPr="0028759E">
        <w:rPr>
          <w:rFonts w:asciiTheme="minorHAnsi" w:hAnsiTheme="minorHAnsi"/>
          <w:i/>
          <w:sz w:val="20"/>
          <w:szCs w:val="20"/>
        </w:rPr>
        <w:t>/13.</w:t>
      </w:r>
    </w:p>
    <w:p w:rsidR="000A07C4" w:rsidRPr="000C19C2" w:rsidRDefault="000A07C4" w:rsidP="000A07C4">
      <w:pPr>
        <w:pStyle w:val="Default"/>
        <w:ind w:left="360"/>
        <w:jc w:val="both"/>
        <w:rPr>
          <w:rFonts w:asciiTheme="minorHAnsi" w:hAnsiTheme="minorHAnsi"/>
          <w:sz w:val="20"/>
          <w:szCs w:val="20"/>
        </w:rPr>
      </w:pPr>
    </w:p>
    <w:p w:rsidR="00D84BF0" w:rsidRPr="000A07C4" w:rsidRDefault="00D84BF0" w:rsidP="005062D1">
      <w:pPr>
        <w:pStyle w:val="Default"/>
        <w:numPr>
          <w:ilvl w:val="0"/>
          <w:numId w:val="14"/>
        </w:numPr>
        <w:jc w:val="both"/>
        <w:rPr>
          <w:rFonts w:asciiTheme="minorHAnsi" w:hAnsiTheme="minorHAnsi"/>
          <w:sz w:val="20"/>
          <w:szCs w:val="20"/>
        </w:rPr>
      </w:pPr>
      <w:r w:rsidRPr="0028759E">
        <w:rPr>
          <w:rFonts w:asciiTheme="minorHAnsi" w:hAnsiTheme="minorHAnsi"/>
          <w:b/>
          <w:sz w:val="20"/>
          <w:szCs w:val="20"/>
        </w:rPr>
        <w:t>How do we report Literacy/Numeracy?  What are the cohorts and time periods?</w:t>
      </w:r>
      <w:r w:rsidRPr="000C19C2">
        <w:rPr>
          <w:rFonts w:asciiTheme="minorHAnsi" w:hAnsiTheme="minorHAnsi"/>
          <w:sz w:val="20"/>
          <w:szCs w:val="20"/>
        </w:rPr>
        <w:t xml:space="preserve">  </w:t>
      </w:r>
      <w:r w:rsidRPr="0028759E">
        <w:rPr>
          <w:rFonts w:asciiTheme="minorHAnsi" w:hAnsiTheme="minorHAnsi"/>
          <w:i/>
          <w:sz w:val="20"/>
          <w:szCs w:val="20"/>
        </w:rPr>
        <w:t>Simply put, the Literacy/Numeracy cohorts match the participant cohorts, which is why it is a “real time measure.”  The date ranges for reporting cohorts refer to one of the first three anniversary dates falling within the date range.  Thus, a basic skills deficient, out-of-school youth with a date of FYS of 7/1/11 would not be included in the measure until 7/2/12 is within the report period.  For the four quarters for which 7/2/12 is within the report period, the state would report on the youth’s first participation year Lit/Num outcomes.  Then, for the four quarters for which 7/2/13 (the second anniversary date) is within the report period, the state would report on the youth’s second participation year Lit/Num outcome.  Lastly, for the four quarters for which 7/2/14 (the third anniversary date) is within the report period, the state would report on the youth’s third participation year Lit/Num outcome.</w:t>
      </w:r>
    </w:p>
    <w:p w:rsidR="000A07C4" w:rsidRPr="000A07C4" w:rsidRDefault="000A07C4" w:rsidP="000A07C4">
      <w:pPr>
        <w:pStyle w:val="Default"/>
        <w:ind w:left="360"/>
        <w:jc w:val="both"/>
        <w:rPr>
          <w:rFonts w:asciiTheme="minorHAnsi" w:hAnsiTheme="minorHAnsi"/>
          <w:sz w:val="20"/>
          <w:szCs w:val="20"/>
        </w:rPr>
      </w:pPr>
    </w:p>
    <w:p w:rsidR="000A07C4" w:rsidRPr="00D73294" w:rsidRDefault="00E7284E" w:rsidP="005062D1">
      <w:pPr>
        <w:pStyle w:val="Default"/>
        <w:numPr>
          <w:ilvl w:val="0"/>
          <w:numId w:val="14"/>
        </w:numPr>
        <w:jc w:val="both"/>
        <w:rPr>
          <w:rFonts w:asciiTheme="minorHAnsi" w:hAnsiTheme="minorHAnsi"/>
          <w:i/>
          <w:sz w:val="20"/>
          <w:szCs w:val="20"/>
        </w:rPr>
      </w:pPr>
      <w:r>
        <w:rPr>
          <w:rFonts w:asciiTheme="minorHAnsi" w:hAnsiTheme="minorHAnsi"/>
          <w:b/>
          <w:sz w:val="20"/>
          <w:szCs w:val="20"/>
        </w:rPr>
        <w:t>I</w:t>
      </w:r>
      <w:r w:rsidR="000A07C4" w:rsidRPr="000F7E78">
        <w:rPr>
          <w:rFonts w:asciiTheme="minorHAnsi" w:hAnsiTheme="minorHAnsi"/>
          <w:b/>
          <w:sz w:val="20"/>
          <w:szCs w:val="20"/>
        </w:rPr>
        <w:t xml:space="preserve">f local staff select 1 for YES on Element #130 (Basic Skills Deficiency) but the L/N pre-test reveals they are </w:t>
      </w:r>
      <w:r w:rsidR="000A07C4" w:rsidRPr="000F7E78">
        <w:rPr>
          <w:rFonts w:asciiTheme="minorHAnsi" w:hAnsiTheme="minorHAnsi"/>
          <w:b/>
          <w:i/>
          <w:sz w:val="20"/>
          <w:szCs w:val="20"/>
        </w:rPr>
        <w:t xml:space="preserve">not </w:t>
      </w:r>
      <w:r w:rsidR="000A07C4" w:rsidRPr="000F7E78">
        <w:rPr>
          <w:rFonts w:asciiTheme="minorHAnsi" w:hAnsiTheme="minorHAnsi"/>
          <w:b/>
          <w:sz w:val="20"/>
          <w:szCs w:val="20"/>
        </w:rPr>
        <w:t xml:space="preserve">basic skills deficient, will the youth still end up in the calculation? </w:t>
      </w:r>
      <w:r w:rsidR="000A07C4" w:rsidRPr="000F7E78">
        <w:rPr>
          <w:rFonts w:asciiTheme="minorHAnsi" w:hAnsiTheme="minorHAnsi"/>
          <w:sz w:val="20"/>
          <w:szCs w:val="20"/>
        </w:rPr>
        <w:t xml:space="preserve"> </w:t>
      </w:r>
      <w:r w:rsidR="000A07C4" w:rsidRPr="000F7E78">
        <w:rPr>
          <w:rFonts w:asciiTheme="minorHAnsi" w:hAnsiTheme="minorHAnsi"/>
          <w:i/>
          <w:sz w:val="20"/>
          <w:szCs w:val="20"/>
        </w:rPr>
        <w:t xml:space="preserve">No. </w:t>
      </w:r>
      <w:r w:rsidR="002D3096">
        <w:rPr>
          <w:rFonts w:asciiTheme="minorHAnsi" w:hAnsiTheme="minorHAnsi"/>
          <w:i/>
          <w:sz w:val="20"/>
          <w:szCs w:val="20"/>
        </w:rPr>
        <w:t xml:space="preserve">Reference the flowchart in Section 5 and also the answer to Question #5 above. </w:t>
      </w:r>
      <w:r w:rsidR="00776BFE">
        <w:rPr>
          <w:rFonts w:asciiTheme="minorHAnsi" w:hAnsiTheme="minorHAnsi"/>
          <w:i/>
          <w:sz w:val="20"/>
          <w:szCs w:val="20"/>
        </w:rPr>
        <w:t xml:space="preserve">When </w:t>
      </w:r>
      <w:r w:rsidR="000A07C4" w:rsidRPr="000F7E78">
        <w:rPr>
          <w:rFonts w:asciiTheme="minorHAnsi" w:hAnsiTheme="minorHAnsi"/>
          <w:i/>
          <w:sz w:val="20"/>
          <w:szCs w:val="20"/>
        </w:rPr>
        <w:t xml:space="preserve">Element #130 </w:t>
      </w:r>
      <w:r w:rsidR="00776BFE">
        <w:rPr>
          <w:rFonts w:asciiTheme="minorHAnsi" w:hAnsiTheme="minorHAnsi"/>
          <w:i/>
          <w:sz w:val="20"/>
          <w:szCs w:val="20"/>
        </w:rPr>
        <w:t xml:space="preserve">is </w:t>
      </w:r>
      <w:r w:rsidR="000A07C4" w:rsidRPr="000F7E78">
        <w:rPr>
          <w:rFonts w:asciiTheme="minorHAnsi" w:hAnsiTheme="minorHAnsi"/>
          <w:i/>
          <w:sz w:val="20"/>
          <w:szCs w:val="20"/>
        </w:rPr>
        <w:t xml:space="preserve">coded as YES </w:t>
      </w:r>
      <w:r w:rsidR="002D3096">
        <w:rPr>
          <w:rFonts w:asciiTheme="minorHAnsi" w:hAnsiTheme="minorHAnsi"/>
          <w:i/>
          <w:sz w:val="20"/>
          <w:szCs w:val="20"/>
        </w:rPr>
        <w:t xml:space="preserve">with </w:t>
      </w:r>
      <w:r w:rsidR="000A07C4" w:rsidRPr="000F7E78">
        <w:rPr>
          <w:rFonts w:asciiTheme="minorHAnsi" w:hAnsiTheme="minorHAnsi"/>
          <w:i/>
          <w:sz w:val="20"/>
          <w:szCs w:val="20"/>
        </w:rPr>
        <w:t>an EFL</w:t>
      </w:r>
      <w:r w:rsidR="00B63E4A">
        <w:rPr>
          <w:rFonts w:asciiTheme="minorHAnsi" w:hAnsiTheme="minorHAnsi"/>
          <w:i/>
          <w:sz w:val="20"/>
          <w:szCs w:val="20"/>
        </w:rPr>
        <w:t xml:space="preserve"> </w:t>
      </w:r>
      <w:r w:rsidR="002D3096">
        <w:rPr>
          <w:rFonts w:asciiTheme="minorHAnsi" w:hAnsiTheme="minorHAnsi"/>
          <w:i/>
          <w:sz w:val="20"/>
          <w:szCs w:val="20"/>
        </w:rPr>
        <w:t>pre-test</w:t>
      </w:r>
      <w:r w:rsidR="000A07C4" w:rsidRPr="000F7E78">
        <w:rPr>
          <w:rFonts w:asciiTheme="minorHAnsi" w:hAnsiTheme="minorHAnsi"/>
          <w:i/>
          <w:sz w:val="20"/>
          <w:szCs w:val="20"/>
        </w:rPr>
        <w:t xml:space="preserve"> of </w:t>
      </w:r>
      <w:r w:rsidR="000F7E78" w:rsidRPr="000F7E78">
        <w:rPr>
          <w:rFonts w:asciiTheme="minorHAnsi" w:hAnsiTheme="minorHAnsi"/>
          <w:i/>
          <w:sz w:val="20"/>
          <w:szCs w:val="20"/>
        </w:rPr>
        <w:t>7 or 8</w:t>
      </w:r>
      <w:r w:rsidR="00776BFE">
        <w:rPr>
          <w:rFonts w:asciiTheme="minorHAnsi" w:hAnsiTheme="minorHAnsi"/>
          <w:i/>
          <w:sz w:val="20"/>
          <w:szCs w:val="20"/>
        </w:rPr>
        <w:t>, this</w:t>
      </w:r>
      <w:r w:rsidR="000F7E78" w:rsidRPr="000F7E78">
        <w:rPr>
          <w:rFonts w:asciiTheme="minorHAnsi" w:hAnsiTheme="minorHAnsi"/>
          <w:i/>
          <w:sz w:val="20"/>
          <w:szCs w:val="20"/>
        </w:rPr>
        <w:t xml:space="preserve"> will result in the youth not being included in the measure.  </w:t>
      </w:r>
    </w:p>
    <w:p w:rsidR="005960F7" w:rsidRDefault="005960F7">
      <w:pPr>
        <w:pStyle w:val="Default"/>
        <w:ind w:left="360"/>
        <w:jc w:val="both"/>
        <w:rPr>
          <w:rFonts w:asciiTheme="minorHAnsi" w:hAnsiTheme="minorHAnsi"/>
          <w:sz w:val="20"/>
          <w:szCs w:val="20"/>
        </w:rPr>
      </w:pPr>
    </w:p>
    <w:p w:rsidR="00D73294" w:rsidRPr="0068056B" w:rsidRDefault="00E7284E" w:rsidP="00D73294">
      <w:pPr>
        <w:pStyle w:val="Default"/>
        <w:numPr>
          <w:ilvl w:val="0"/>
          <w:numId w:val="14"/>
        </w:numPr>
        <w:jc w:val="both"/>
        <w:rPr>
          <w:rFonts w:asciiTheme="minorHAnsi" w:hAnsiTheme="minorHAnsi"/>
          <w:sz w:val="20"/>
          <w:szCs w:val="20"/>
        </w:rPr>
      </w:pPr>
      <w:r>
        <w:rPr>
          <w:rFonts w:asciiTheme="minorHAnsi" w:hAnsiTheme="minorHAnsi"/>
          <w:b/>
          <w:sz w:val="20"/>
          <w:szCs w:val="20"/>
        </w:rPr>
        <w:t xml:space="preserve">If during a youth’s </w:t>
      </w:r>
      <w:r w:rsidR="00D73294">
        <w:rPr>
          <w:rFonts w:asciiTheme="minorHAnsi" w:hAnsiTheme="minorHAnsi"/>
          <w:b/>
          <w:sz w:val="20"/>
          <w:szCs w:val="20"/>
        </w:rPr>
        <w:t xml:space="preserve">second year of </w:t>
      </w:r>
      <w:r w:rsidR="00DD15A1">
        <w:rPr>
          <w:rFonts w:asciiTheme="minorHAnsi" w:hAnsiTheme="minorHAnsi"/>
          <w:b/>
          <w:sz w:val="20"/>
          <w:szCs w:val="20"/>
        </w:rPr>
        <w:t xml:space="preserve">WIA </w:t>
      </w:r>
      <w:r w:rsidR="00D73294">
        <w:rPr>
          <w:rFonts w:asciiTheme="minorHAnsi" w:hAnsiTheme="minorHAnsi"/>
          <w:b/>
          <w:sz w:val="20"/>
          <w:szCs w:val="20"/>
        </w:rPr>
        <w:t>participation</w:t>
      </w:r>
      <w:r>
        <w:rPr>
          <w:rFonts w:asciiTheme="minorHAnsi" w:hAnsiTheme="minorHAnsi"/>
          <w:b/>
          <w:sz w:val="20"/>
          <w:szCs w:val="20"/>
        </w:rPr>
        <w:t xml:space="preserve">, </w:t>
      </w:r>
      <w:r w:rsidR="00D73294">
        <w:rPr>
          <w:rFonts w:asciiTheme="minorHAnsi" w:hAnsiTheme="minorHAnsi"/>
          <w:b/>
          <w:sz w:val="20"/>
          <w:szCs w:val="20"/>
        </w:rPr>
        <w:t xml:space="preserve">they post-test and it’s a positive gain but then they exit before completing the full second year, </w:t>
      </w:r>
      <w:r>
        <w:rPr>
          <w:rFonts w:asciiTheme="minorHAnsi" w:hAnsiTheme="minorHAnsi"/>
          <w:b/>
          <w:sz w:val="20"/>
          <w:szCs w:val="20"/>
        </w:rPr>
        <w:t>are they counted in the measure</w:t>
      </w:r>
      <w:r w:rsidR="00D73294">
        <w:rPr>
          <w:rFonts w:asciiTheme="minorHAnsi" w:hAnsiTheme="minorHAnsi"/>
          <w:b/>
          <w:sz w:val="20"/>
          <w:szCs w:val="20"/>
        </w:rPr>
        <w:t xml:space="preserve">?  </w:t>
      </w:r>
      <w:r w:rsidR="00D73294" w:rsidRPr="000F7E78">
        <w:rPr>
          <w:rFonts w:asciiTheme="minorHAnsi" w:hAnsiTheme="minorHAnsi"/>
          <w:i/>
          <w:sz w:val="20"/>
          <w:szCs w:val="20"/>
        </w:rPr>
        <w:t xml:space="preserve">No. </w:t>
      </w:r>
      <w:r w:rsidR="00D73294">
        <w:rPr>
          <w:rFonts w:asciiTheme="minorHAnsi" w:hAnsiTheme="minorHAnsi"/>
          <w:i/>
          <w:sz w:val="20"/>
          <w:szCs w:val="20"/>
        </w:rPr>
        <w:t>Youth must complete the full second year to be included in the measure a second time.  If they exit prior to completion of the full year, they are excluded.</w:t>
      </w:r>
      <w:r w:rsidR="00B36383">
        <w:rPr>
          <w:rFonts w:asciiTheme="minorHAnsi" w:hAnsiTheme="minorHAnsi"/>
          <w:i/>
          <w:sz w:val="20"/>
          <w:szCs w:val="20"/>
        </w:rPr>
        <w:t xml:space="preserve">  ETA’s intention is to hold programs accountable for helping youth achieve a gain but recognizes youth are highly mobile and may not remain in the program.  Therefore, holding programs accountable for second or third year gains </w:t>
      </w:r>
      <w:r>
        <w:rPr>
          <w:rFonts w:asciiTheme="minorHAnsi" w:hAnsiTheme="minorHAnsi"/>
          <w:i/>
          <w:sz w:val="20"/>
          <w:szCs w:val="20"/>
        </w:rPr>
        <w:t>for a partial year of participation would be unfair.</w:t>
      </w:r>
      <w:r w:rsidR="00B36383">
        <w:rPr>
          <w:rFonts w:asciiTheme="minorHAnsi" w:hAnsiTheme="minorHAnsi"/>
          <w:i/>
          <w:sz w:val="20"/>
          <w:szCs w:val="20"/>
        </w:rPr>
        <w:t xml:space="preserve"> </w:t>
      </w:r>
    </w:p>
    <w:p w:rsidR="0068056B" w:rsidRDefault="0068056B" w:rsidP="0068056B">
      <w:pPr>
        <w:pStyle w:val="Default"/>
        <w:ind w:left="360"/>
        <w:jc w:val="both"/>
        <w:rPr>
          <w:rFonts w:asciiTheme="minorHAnsi" w:hAnsiTheme="minorHAnsi"/>
          <w:sz w:val="20"/>
          <w:szCs w:val="20"/>
        </w:rPr>
      </w:pPr>
    </w:p>
    <w:p w:rsidR="00A16DF6" w:rsidRPr="00A16DF6" w:rsidRDefault="0068056B" w:rsidP="0068056B">
      <w:pPr>
        <w:pStyle w:val="Default"/>
        <w:numPr>
          <w:ilvl w:val="0"/>
          <w:numId w:val="14"/>
        </w:numPr>
        <w:jc w:val="both"/>
        <w:rPr>
          <w:rFonts w:asciiTheme="minorHAnsi" w:hAnsiTheme="minorHAnsi"/>
          <w:i/>
          <w:sz w:val="20"/>
          <w:szCs w:val="20"/>
        </w:rPr>
      </w:pPr>
      <w:r w:rsidRPr="00A16DF6">
        <w:rPr>
          <w:rFonts w:asciiTheme="minorHAnsi" w:hAnsiTheme="minorHAnsi"/>
          <w:b/>
          <w:sz w:val="20"/>
          <w:szCs w:val="20"/>
        </w:rPr>
        <w:t xml:space="preserve">If </w:t>
      </w:r>
      <w:r w:rsidR="00806530" w:rsidRPr="00A16DF6">
        <w:rPr>
          <w:rFonts w:asciiTheme="minorHAnsi" w:hAnsiTheme="minorHAnsi"/>
          <w:b/>
          <w:sz w:val="20"/>
          <w:szCs w:val="20"/>
        </w:rPr>
        <w:t xml:space="preserve">a youth is no longer </w:t>
      </w:r>
      <w:r w:rsidR="00A16DF6" w:rsidRPr="00A16DF6">
        <w:rPr>
          <w:rFonts w:asciiTheme="minorHAnsi" w:hAnsiTheme="minorHAnsi"/>
          <w:b/>
          <w:sz w:val="20"/>
          <w:szCs w:val="20"/>
        </w:rPr>
        <w:t>receiving</w:t>
      </w:r>
      <w:r w:rsidR="00806530" w:rsidRPr="00A16DF6">
        <w:rPr>
          <w:rFonts w:asciiTheme="minorHAnsi" w:hAnsiTheme="minorHAnsi"/>
          <w:b/>
          <w:sz w:val="20"/>
          <w:szCs w:val="20"/>
        </w:rPr>
        <w:t xml:space="preserve"> WIA youth services but, due to the requirement for a common exit date, the youth isn’t exited because they</w:t>
      </w:r>
      <w:r w:rsidR="00A16DF6">
        <w:rPr>
          <w:rFonts w:asciiTheme="minorHAnsi" w:hAnsiTheme="minorHAnsi"/>
          <w:b/>
          <w:sz w:val="20"/>
          <w:szCs w:val="20"/>
        </w:rPr>
        <w:t>’re</w:t>
      </w:r>
      <w:r w:rsidR="00A16DF6" w:rsidRPr="00A16DF6">
        <w:rPr>
          <w:rFonts w:asciiTheme="minorHAnsi" w:hAnsiTheme="minorHAnsi"/>
          <w:b/>
          <w:sz w:val="20"/>
          <w:szCs w:val="20"/>
        </w:rPr>
        <w:t xml:space="preserve"> receiving services from </w:t>
      </w:r>
      <w:r w:rsidR="00806530" w:rsidRPr="00A16DF6">
        <w:rPr>
          <w:rFonts w:asciiTheme="minorHAnsi" w:hAnsiTheme="minorHAnsi"/>
          <w:b/>
          <w:sz w:val="20"/>
          <w:szCs w:val="20"/>
        </w:rPr>
        <w:t xml:space="preserve">a partner program – </w:t>
      </w:r>
      <w:r w:rsidR="00A16DF6">
        <w:rPr>
          <w:rFonts w:asciiTheme="minorHAnsi" w:hAnsiTheme="minorHAnsi"/>
          <w:b/>
          <w:sz w:val="20"/>
          <w:szCs w:val="20"/>
        </w:rPr>
        <w:t xml:space="preserve">such as </w:t>
      </w:r>
      <w:r w:rsidR="00806530" w:rsidRPr="00A16DF6">
        <w:rPr>
          <w:rFonts w:asciiTheme="minorHAnsi" w:hAnsiTheme="minorHAnsi"/>
          <w:b/>
          <w:sz w:val="20"/>
          <w:szCs w:val="20"/>
        </w:rPr>
        <w:t>the WIA Adult program</w:t>
      </w:r>
      <w:r w:rsidRPr="00A16DF6">
        <w:rPr>
          <w:rFonts w:asciiTheme="minorHAnsi" w:hAnsiTheme="minorHAnsi"/>
          <w:b/>
          <w:sz w:val="20"/>
          <w:szCs w:val="20"/>
        </w:rPr>
        <w:t xml:space="preserve"> – would </w:t>
      </w:r>
      <w:r w:rsidR="00806530" w:rsidRPr="00A16DF6">
        <w:rPr>
          <w:rFonts w:asciiTheme="minorHAnsi" w:hAnsiTheme="minorHAnsi"/>
          <w:b/>
          <w:sz w:val="20"/>
          <w:szCs w:val="20"/>
        </w:rPr>
        <w:t xml:space="preserve">the youth still be in the L/N measure?  </w:t>
      </w:r>
      <w:r w:rsidR="00A16DF6" w:rsidRPr="00A16DF6">
        <w:rPr>
          <w:rFonts w:asciiTheme="minorHAnsi" w:hAnsiTheme="minorHAnsi"/>
          <w:i/>
          <w:sz w:val="20"/>
          <w:szCs w:val="20"/>
        </w:rPr>
        <w:t xml:space="preserve">Yes, </w:t>
      </w:r>
      <w:r w:rsidR="00E7284E">
        <w:rPr>
          <w:rFonts w:asciiTheme="minorHAnsi" w:hAnsiTheme="minorHAnsi"/>
          <w:i/>
          <w:sz w:val="20"/>
          <w:szCs w:val="20"/>
        </w:rPr>
        <w:t xml:space="preserve">as long as the youth has not exited, </w:t>
      </w:r>
      <w:r w:rsidR="00A16DF6" w:rsidRPr="00A16DF6">
        <w:rPr>
          <w:rFonts w:asciiTheme="minorHAnsi" w:hAnsiTheme="minorHAnsi"/>
          <w:i/>
          <w:sz w:val="20"/>
          <w:szCs w:val="20"/>
        </w:rPr>
        <w:t>t</w:t>
      </w:r>
      <w:r w:rsidR="00806530" w:rsidRPr="00A16DF6">
        <w:rPr>
          <w:rFonts w:asciiTheme="minorHAnsi" w:hAnsiTheme="minorHAnsi"/>
          <w:i/>
          <w:sz w:val="20"/>
          <w:szCs w:val="20"/>
        </w:rPr>
        <w:t>he youth will be included in the L/N measure through their third participation year</w:t>
      </w:r>
      <w:r w:rsidR="00A16DF6" w:rsidRPr="00A16DF6">
        <w:rPr>
          <w:rFonts w:asciiTheme="minorHAnsi" w:hAnsiTheme="minorHAnsi"/>
          <w:i/>
          <w:sz w:val="20"/>
          <w:szCs w:val="20"/>
        </w:rPr>
        <w:t xml:space="preserve"> (in a youth or partner program)</w:t>
      </w:r>
      <w:r w:rsidR="00806530" w:rsidRPr="00A16DF6">
        <w:rPr>
          <w:rFonts w:asciiTheme="minorHAnsi" w:hAnsiTheme="minorHAnsi"/>
          <w:i/>
          <w:sz w:val="20"/>
          <w:szCs w:val="20"/>
        </w:rPr>
        <w:t xml:space="preserve"> unless they are post-tested as proficient in </w:t>
      </w:r>
      <w:r w:rsidRPr="00A16DF6">
        <w:rPr>
          <w:rFonts w:asciiTheme="minorHAnsi" w:hAnsiTheme="minorHAnsi"/>
          <w:i/>
          <w:sz w:val="20"/>
          <w:szCs w:val="20"/>
        </w:rPr>
        <w:t>the area(s) of prior deficiency</w:t>
      </w:r>
      <w:r w:rsidR="00806530" w:rsidRPr="00A16DF6">
        <w:rPr>
          <w:rFonts w:asciiTheme="minorHAnsi" w:hAnsiTheme="minorHAnsi"/>
          <w:i/>
          <w:sz w:val="20"/>
          <w:szCs w:val="20"/>
        </w:rPr>
        <w:t xml:space="preserve"> (an EFL of 7 or 8).  </w:t>
      </w:r>
    </w:p>
    <w:sectPr w:rsidR="00A16DF6" w:rsidRPr="00A16DF6" w:rsidSect="00DE395B">
      <w:headerReference w:type="even" r:id="rId14"/>
      <w:headerReference w:type="default" r:id="rId15"/>
      <w:footerReference w:type="even" r:id="rId16"/>
      <w:footerReference w:type="default" r:id="rId17"/>
      <w:headerReference w:type="first" r:id="rId18"/>
      <w:footerReference w:type="first" r:id="rId19"/>
      <w:pgSz w:w="12240" w:h="15840"/>
      <w:pgMar w:top="1008" w:right="864" w:bottom="720" w:left="864"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80" w:rsidRDefault="00283480" w:rsidP="002826C3">
      <w:pPr>
        <w:spacing w:line="240" w:lineRule="auto"/>
      </w:pPr>
      <w:r>
        <w:separator/>
      </w:r>
    </w:p>
  </w:endnote>
  <w:endnote w:type="continuationSeparator" w:id="0">
    <w:p w:rsidR="00283480" w:rsidRDefault="00283480" w:rsidP="002826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80" w:rsidRDefault="00283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80" w:rsidRDefault="002834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80" w:rsidRDefault="00283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80" w:rsidRDefault="00283480" w:rsidP="002826C3">
      <w:pPr>
        <w:spacing w:line="240" w:lineRule="auto"/>
      </w:pPr>
      <w:r>
        <w:separator/>
      </w:r>
    </w:p>
  </w:footnote>
  <w:footnote w:type="continuationSeparator" w:id="0">
    <w:p w:rsidR="00283480" w:rsidRDefault="00283480" w:rsidP="002826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80" w:rsidRDefault="002834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80" w:rsidRDefault="002834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80" w:rsidRDefault="00283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095"/>
    <w:multiLevelType w:val="hybridMultilevel"/>
    <w:tmpl w:val="2E6A1B38"/>
    <w:lvl w:ilvl="0" w:tplc="8E3AB5D4">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954296"/>
    <w:multiLevelType w:val="hybridMultilevel"/>
    <w:tmpl w:val="F9386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D22910"/>
    <w:multiLevelType w:val="hybridMultilevel"/>
    <w:tmpl w:val="281E497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45F7C"/>
    <w:multiLevelType w:val="hybridMultilevel"/>
    <w:tmpl w:val="416A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C40C7"/>
    <w:multiLevelType w:val="hybridMultilevel"/>
    <w:tmpl w:val="A7807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80007"/>
    <w:multiLevelType w:val="hybridMultilevel"/>
    <w:tmpl w:val="62F2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A1561F"/>
    <w:multiLevelType w:val="hybridMultilevel"/>
    <w:tmpl w:val="3236C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0C0902"/>
    <w:multiLevelType w:val="hybridMultilevel"/>
    <w:tmpl w:val="96D4B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05D4A"/>
    <w:multiLevelType w:val="hybridMultilevel"/>
    <w:tmpl w:val="FFDC30E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6AA6E33C">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155E02"/>
    <w:multiLevelType w:val="hybridMultilevel"/>
    <w:tmpl w:val="731E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C53D42"/>
    <w:multiLevelType w:val="hybridMultilevel"/>
    <w:tmpl w:val="8F24D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F87167"/>
    <w:multiLevelType w:val="hybridMultilevel"/>
    <w:tmpl w:val="DE2CE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224255"/>
    <w:multiLevelType w:val="hybridMultilevel"/>
    <w:tmpl w:val="018CC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7D2CB8"/>
    <w:multiLevelType w:val="hybridMultilevel"/>
    <w:tmpl w:val="5B36A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A56F9F"/>
    <w:multiLevelType w:val="hybridMultilevel"/>
    <w:tmpl w:val="C9A0848C"/>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514A4682"/>
    <w:multiLevelType w:val="hybridMultilevel"/>
    <w:tmpl w:val="6BD2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D97B20"/>
    <w:multiLevelType w:val="hybridMultilevel"/>
    <w:tmpl w:val="6FFA52B4"/>
    <w:lvl w:ilvl="0" w:tplc="6932FE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B7468C"/>
    <w:multiLevelType w:val="hybridMultilevel"/>
    <w:tmpl w:val="8F24D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CC3E26"/>
    <w:multiLevelType w:val="hybridMultilevel"/>
    <w:tmpl w:val="14709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D744A"/>
    <w:multiLevelType w:val="hybridMultilevel"/>
    <w:tmpl w:val="0EB69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BA4B71"/>
    <w:multiLevelType w:val="hybridMultilevel"/>
    <w:tmpl w:val="6FFA52B4"/>
    <w:lvl w:ilvl="0" w:tplc="6932FE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E3751D"/>
    <w:multiLevelType w:val="hybridMultilevel"/>
    <w:tmpl w:val="644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945F3"/>
    <w:multiLevelType w:val="hybridMultilevel"/>
    <w:tmpl w:val="8676D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5"/>
  </w:num>
  <w:num w:numId="4">
    <w:abstractNumId w:val="9"/>
  </w:num>
  <w:num w:numId="5">
    <w:abstractNumId w:val="15"/>
  </w:num>
  <w:num w:numId="6">
    <w:abstractNumId w:val="4"/>
  </w:num>
  <w:num w:numId="7">
    <w:abstractNumId w:val="11"/>
  </w:num>
  <w:num w:numId="8">
    <w:abstractNumId w:val="17"/>
  </w:num>
  <w:num w:numId="9">
    <w:abstractNumId w:val="3"/>
  </w:num>
  <w:num w:numId="10">
    <w:abstractNumId w:val="20"/>
  </w:num>
  <w:num w:numId="11">
    <w:abstractNumId w:val="13"/>
  </w:num>
  <w:num w:numId="12">
    <w:abstractNumId w:val="12"/>
  </w:num>
  <w:num w:numId="13">
    <w:abstractNumId w:val="6"/>
  </w:num>
  <w:num w:numId="14">
    <w:abstractNumId w:val="0"/>
  </w:num>
  <w:num w:numId="15">
    <w:abstractNumId w:val="1"/>
  </w:num>
  <w:num w:numId="16">
    <w:abstractNumId w:val="10"/>
  </w:num>
  <w:num w:numId="17">
    <w:abstractNumId w:val="16"/>
  </w:num>
  <w:num w:numId="18">
    <w:abstractNumId w:val="8"/>
  </w:num>
  <w:num w:numId="19">
    <w:abstractNumId w:val="7"/>
  </w:num>
  <w:num w:numId="20">
    <w:abstractNumId w:val="21"/>
  </w:num>
  <w:num w:numId="21">
    <w:abstractNumId w:val="2"/>
  </w:num>
  <w:num w:numId="22">
    <w:abstractNumId w:val="1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o:colormenu v:ext="edit" strokecolor="none [2405]"/>
    </o:shapedefaults>
  </w:hdrShapeDefaults>
  <w:footnotePr>
    <w:footnote w:id="-1"/>
    <w:footnote w:id="0"/>
  </w:footnotePr>
  <w:endnotePr>
    <w:endnote w:id="-1"/>
    <w:endnote w:id="0"/>
  </w:endnotePr>
  <w:compat/>
  <w:rsids>
    <w:rsidRoot w:val="00051FAE"/>
    <w:rsid w:val="00004E6D"/>
    <w:rsid w:val="00023527"/>
    <w:rsid w:val="00024E88"/>
    <w:rsid w:val="00051FAE"/>
    <w:rsid w:val="0006188D"/>
    <w:rsid w:val="00062AFA"/>
    <w:rsid w:val="000A07C4"/>
    <w:rsid w:val="000A5DB5"/>
    <w:rsid w:val="000B2A68"/>
    <w:rsid w:val="000C0CFC"/>
    <w:rsid w:val="000C19C2"/>
    <w:rsid w:val="000F0B1A"/>
    <w:rsid w:val="000F6D6A"/>
    <w:rsid w:val="000F7E78"/>
    <w:rsid w:val="00101C25"/>
    <w:rsid w:val="001052CE"/>
    <w:rsid w:val="00107F06"/>
    <w:rsid w:val="001134BA"/>
    <w:rsid w:val="00141D58"/>
    <w:rsid w:val="00176771"/>
    <w:rsid w:val="001A6476"/>
    <w:rsid w:val="001B3745"/>
    <w:rsid w:val="001C7114"/>
    <w:rsid w:val="001D3424"/>
    <w:rsid w:val="001D45FF"/>
    <w:rsid w:val="001E143A"/>
    <w:rsid w:val="001F292E"/>
    <w:rsid w:val="0022072B"/>
    <w:rsid w:val="00225D17"/>
    <w:rsid w:val="00242691"/>
    <w:rsid w:val="0024500B"/>
    <w:rsid w:val="002505E7"/>
    <w:rsid w:val="0025440C"/>
    <w:rsid w:val="002618BF"/>
    <w:rsid w:val="00261F07"/>
    <w:rsid w:val="0027504B"/>
    <w:rsid w:val="00276784"/>
    <w:rsid w:val="00281034"/>
    <w:rsid w:val="002826C3"/>
    <w:rsid w:val="00283480"/>
    <w:rsid w:val="00284D56"/>
    <w:rsid w:val="002860E1"/>
    <w:rsid w:val="0028759E"/>
    <w:rsid w:val="002A63F6"/>
    <w:rsid w:val="002D3096"/>
    <w:rsid w:val="002D6CB1"/>
    <w:rsid w:val="002F6DE6"/>
    <w:rsid w:val="003059D9"/>
    <w:rsid w:val="00313C8F"/>
    <w:rsid w:val="00360638"/>
    <w:rsid w:val="0036407E"/>
    <w:rsid w:val="00371363"/>
    <w:rsid w:val="003B21B8"/>
    <w:rsid w:val="003B3B81"/>
    <w:rsid w:val="003C6ADA"/>
    <w:rsid w:val="003E0860"/>
    <w:rsid w:val="003E3B7A"/>
    <w:rsid w:val="003E7801"/>
    <w:rsid w:val="003F02C9"/>
    <w:rsid w:val="00402D50"/>
    <w:rsid w:val="004130F9"/>
    <w:rsid w:val="00433599"/>
    <w:rsid w:val="00462331"/>
    <w:rsid w:val="004641AC"/>
    <w:rsid w:val="00490A33"/>
    <w:rsid w:val="00491E01"/>
    <w:rsid w:val="004B33AC"/>
    <w:rsid w:val="004E796A"/>
    <w:rsid w:val="005062D1"/>
    <w:rsid w:val="00510FF6"/>
    <w:rsid w:val="005621B6"/>
    <w:rsid w:val="00570D10"/>
    <w:rsid w:val="005727EE"/>
    <w:rsid w:val="00580577"/>
    <w:rsid w:val="00586A4E"/>
    <w:rsid w:val="005960F7"/>
    <w:rsid w:val="005B0072"/>
    <w:rsid w:val="005B19D9"/>
    <w:rsid w:val="005C22A5"/>
    <w:rsid w:val="005F7B23"/>
    <w:rsid w:val="00656575"/>
    <w:rsid w:val="0068056B"/>
    <w:rsid w:val="006D3163"/>
    <w:rsid w:val="006D476E"/>
    <w:rsid w:val="006E6B0F"/>
    <w:rsid w:val="006F27A6"/>
    <w:rsid w:val="00715F6D"/>
    <w:rsid w:val="00717443"/>
    <w:rsid w:val="007349B5"/>
    <w:rsid w:val="00745750"/>
    <w:rsid w:val="00765DB6"/>
    <w:rsid w:val="00776BFE"/>
    <w:rsid w:val="00781A75"/>
    <w:rsid w:val="0078232C"/>
    <w:rsid w:val="007869A4"/>
    <w:rsid w:val="00791B59"/>
    <w:rsid w:val="00792666"/>
    <w:rsid w:val="0079520D"/>
    <w:rsid w:val="00797C65"/>
    <w:rsid w:val="007A552D"/>
    <w:rsid w:val="007B25E1"/>
    <w:rsid w:val="007C14FB"/>
    <w:rsid w:val="007C19C5"/>
    <w:rsid w:val="007D2123"/>
    <w:rsid w:val="007E6005"/>
    <w:rsid w:val="007F6B48"/>
    <w:rsid w:val="00806530"/>
    <w:rsid w:val="0081064E"/>
    <w:rsid w:val="00811EAA"/>
    <w:rsid w:val="0082536D"/>
    <w:rsid w:val="00845ED4"/>
    <w:rsid w:val="008514EC"/>
    <w:rsid w:val="00874E5D"/>
    <w:rsid w:val="008B0E62"/>
    <w:rsid w:val="008B7DCF"/>
    <w:rsid w:val="008D22C8"/>
    <w:rsid w:val="00903F0F"/>
    <w:rsid w:val="009205E7"/>
    <w:rsid w:val="00921E91"/>
    <w:rsid w:val="00966AF9"/>
    <w:rsid w:val="00972F37"/>
    <w:rsid w:val="00977F12"/>
    <w:rsid w:val="009A0C13"/>
    <w:rsid w:val="009A1D21"/>
    <w:rsid w:val="009A77EE"/>
    <w:rsid w:val="00A013ED"/>
    <w:rsid w:val="00A06078"/>
    <w:rsid w:val="00A16DF6"/>
    <w:rsid w:val="00A437D4"/>
    <w:rsid w:val="00A86BF8"/>
    <w:rsid w:val="00A97CBF"/>
    <w:rsid w:val="00AA691D"/>
    <w:rsid w:val="00AB638A"/>
    <w:rsid w:val="00AD3027"/>
    <w:rsid w:val="00AE0D02"/>
    <w:rsid w:val="00B212B5"/>
    <w:rsid w:val="00B27477"/>
    <w:rsid w:val="00B36383"/>
    <w:rsid w:val="00B4034D"/>
    <w:rsid w:val="00B51024"/>
    <w:rsid w:val="00B63E4A"/>
    <w:rsid w:val="00B957BD"/>
    <w:rsid w:val="00B97399"/>
    <w:rsid w:val="00BE05DE"/>
    <w:rsid w:val="00BF5DD1"/>
    <w:rsid w:val="00C01C05"/>
    <w:rsid w:val="00C12A8A"/>
    <w:rsid w:val="00C4510D"/>
    <w:rsid w:val="00C52E98"/>
    <w:rsid w:val="00C57B6E"/>
    <w:rsid w:val="00C83160"/>
    <w:rsid w:val="00C8747D"/>
    <w:rsid w:val="00C91E1E"/>
    <w:rsid w:val="00C96525"/>
    <w:rsid w:val="00CC127A"/>
    <w:rsid w:val="00CE7E30"/>
    <w:rsid w:val="00D07B5B"/>
    <w:rsid w:val="00D16F0A"/>
    <w:rsid w:val="00D22DF4"/>
    <w:rsid w:val="00D34FD1"/>
    <w:rsid w:val="00D55712"/>
    <w:rsid w:val="00D56635"/>
    <w:rsid w:val="00D73294"/>
    <w:rsid w:val="00D75FD6"/>
    <w:rsid w:val="00D7672D"/>
    <w:rsid w:val="00D84BF0"/>
    <w:rsid w:val="00D96ED0"/>
    <w:rsid w:val="00DB187A"/>
    <w:rsid w:val="00DD09DF"/>
    <w:rsid w:val="00DD15A1"/>
    <w:rsid w:val="00DD57B4"/>
    <w:rsid w:val="00DE395B"/>
    <w:rsid w:val="00E07518"/>
    <w:rsid w:val="00E16817"/>
    <w:rsid w:val="00E268C4"/>
    <w:rsid w:val="00E30983"/>
    <w:rsid w:val="00E403CA"/>
    <w:rsid w:val="00E52EA4"/>
    <w:rsid w:val="00E57934"/>
    <w:rsid w:val="00E7005A"/>
    <w:rsid w:val="00E7284E"/>
    <w:rsid w:val="00E76FFA"/>
    <w:rsid w:val="00E8376B"/>
    <w:rsid w:val="00EA7AB4"/>
    <w:rsid w:val="00EB3EFE"/>
    <w:rsid w:val="00EE5916"/>
    <w:rsid w:val="00EF68F1"/>
    <w:rsid w:val="00F04709"/>
    <w:rsid w:val="00F0657B"/>
    <w:rsid w:val="00F21CBD"/>
    <w:rsid w:val="00F408A8"/>
    <w:rsid w:val="00F63C4B"/>
    <w:rsid w:val="00FA0505"/>
    <w:rsid w:val="00FC057A"/>
    <w:rsid w:val="00FC198A"/>
    <w:rsid w:val="00FC45C9"/>
    <w:rsid w:val="00FD1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2405]"/>
    </o:shapedefaults>
    <o:shapelayout v:ext="edit">
      <o:idmap v:ext="edit" data="1"/>
      <o:rules v:ext="edit">
        <o:r id="V:Rule17" type="connector" idref="#_x0000_s1126"/>
        <o:r id="V:Rule18" type="connector" idref="#_x0000_s1134"/>
        <o:r id="V:Rule19" type="connector" idref="#_x0000_s1127"/>
        <o:r id="V:Rule20" type="connector" idref="#_x0000_s1130"/>
        <o:r id="V:Rule21" type="connector" idref="#_x0000_s1118"/>
        <o:r id="V:Rule22" type="connector" idref="#_x0000_s1120"/>
        <o:r id="V:Rule23" type="connector" idref="#_x0000_s1122"/>
        <o:r id="V:Rule24" type="connector" idref="#_x0000_s1117"/>
        <o:r id="V:Rule25" type="connector" idref="#_x0000_s1045"/>
        <o:r id="V:Rule26" type="connector" idref="#_x0000_s1116"/>
        <o:r id="V:Rule27" type="connector" idref="#_x0000_s1125"/>
        <o:r id="V:Rule28" type="connector" idref="#_x0000_s1044"/>
        <o:r id="V:Rule29" type="connector" idref="#_x0000_s1119"/>
        <o:r id="V:Rule30" type="connector" idref="#_x0000_s1129"/>
        <o:r id="V:Rule31" type="connector" idref="#_x0000_s1128"/>
        <o:r id="V:Rule32"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F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FAE"/>
    <w:pPr>
      <w:ind w:left="720"/>
      <w:contextualSpacing/>
    </w:pPr>
  </w:style>
  <w:style w:type="paragraph" w:styleId="BalloonText">
    <w:name w:val="Balloon Text"/>
    <w:basedOn w:val="Normal"/>
    <w:link w:val="BalloonTextChar"/>
    <w:uiPriority w:val="99"/>
    <w:semiHidden/>
    <w:unhideWhenUsed/>
    <w:rsid w:val="00DE39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5B"/>
    <w:rPr>
      <w:rFonts w:ascii="Tahoma" w:hAnsi="Tahoma" w:cs="Tahoma"/>
      <w:sz w:val="16"/>
      <w:szCs w:val="16"/>
    </w:rPr>
  </w:style>
  <w:style w:type="character" w:styleId="CommentReference">
    <w:name w:val="annotation reference"/>
    <w:basedOn w:val="DefaultParagraphFont"/>
    <w:uiPriority w:val="99"/>
    <w:semiHidden/>
    <w:unhideWhenUsed/>
    <w:rsid w:val="00C4510D"/>
    <w:rPr>
      <w:sz w:val="16"/>
      <w:szCs w:val="16"/>
    </w:rPr>
  </w:style>
  <w:style w:type="paragraph" w:styleId="CommentText">
    <w:name w:val="annotation text"/>
    <w:basedOn w:val="Normal"/>
    <w:link w:val="CommentTextChar"/>
    <w:uiPriority w:val="99"/>
    <w:semiHidden/>
    <w:unhideWhenUsed/>
    <w:rsid w:val="00C4510D"/>
    <w:pPr>
      <w:spacing w:line="240" w:lineRule="auto"/>
    </w:pPr>
    <w:rPr>
      <w:sz w:val="20"/>
      <w:szCs w:val="20"/>
    </w:rPr>
  </w:style>
  <w:style w:type="character" w:customStyle="1" w:styleId="CommentTextChar">
    <w:name w:val="Comment Text Char"/>
    <w:basedOn w:val="DefaultParagraphFont"/>
    <w:link w:val="CommentText"/>
    <w:uiPriority w:val="99"/>
    <w:semiHidden/>
    <w:rsid w:val="00C4510D"/>
    <w:rPr>
      <w:sz w:val="20"/>
      <w:szCs w:val="20"/>
    </w:rPr>
  </w:style>
  <w:style w:type="paragraph" w:styleId="CommentSubject">
    <w:name w:val="annotation subject"/>
    <w:basedOn w:val="CommentText"/>
    <w:next w:val="CommentText"/>
    <w:link w:val="CommentSubjectChar"/>
    <w:uiPriority w:val="99"/>
    <w:semiHidden/>
    <w:unhideWhenUsed/>
    <w:rsid w:val="00C4510D"/>
    <w:rPr>
      <w:b/>
      <w:bCs/>
    </w:rPr>
  </w:style>
  <w:style w:type="character" w:customStyle="1" w:styleId="CommentSubjectChar">
    <w:name w:val="Comment Subject Char"/>
    <w:basedOn w:val="CommentTextChar"/>
    <w:link w:val="CommentSubject"/>
    <w:uiPriority w:val="99"/>
    <w:semiHidden/>
    <w:rsid w:val="00C4510D"/>
    <w:rPr>
      <w:b/>
      <w:bCs/>
      <w:sz w:val="20"/>
      <w:szCs w:val="20"/>
    </w:rPr>
  </w:style>
  <w:style w:type="paragraph" w:customStyle="1" w:styleId="Default">
    <w:name w:val="Default"/>
    <w:rsid w:val="007C19C5"/>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6771"/>
    <w:rPr>
      <w:color w:val="0000FF" w:themeColor="hyperlink"/>
      <w:u w:val="single"/>
    </w:rPr>
  </w:style>
  <w:style w:type="paragraph" w:styleId="Header">
    <w:name w:val="header"/>
    <w:basedOn w:val="Normal"/>
    <w:link w:val="HeaderChar"/>
    <w:uiPriority w:val="99"/>
    <w:unhideWhenUsed/>
    <w:rsid w:val="002826C3"/>
    <w:pPr>
      <w:tabs>
        <w:tab w:val="center" w:pos="4680"/>
        <w:tab w:val="right" w:pos="9360"/>
      </w:tabs>
      <w:spacing w:line="240" w:lineRule="auto"/>
    </w:pPr>
  </w:style>
  <w:style w:type="character" w:customStyle="1" w:styleId="HeaderChar">
    <w:name w:val="Header Char"/>
    <w:basedOn w:val="DefaultParagraphFont"/>
    <w:link w:val="Header"/>
    <w:uiPriority w:val="99"/>
    <w:rsid w:val="002826C3"/>
  </w:style>
  <w:style w:type="paragraph" w:styleId="Footer">
    <w:name w:val="footer"/>
    <w:basedOn w:val="Normal"/>
    <w:link w:val="FooterChar"/>
    <w:uiPriority w:val="99"/>
    <w:unhideWhenUsed/>
    <w:rsid w:val="002826C3"/>
    <w:pPr>
      <w:tabs>
        <w:tab w:val="center" w:pos="4680"/>
        <w:tab w:val="right" w:pos="9360"/>
      </w:tabs>
      <w:spacing w:line="240" w:lineRule="auto"/>
    </w:pPr>
  </w:style>
  <w:style w:type="character" w:customStyle="1" w:styleId="FooterChar">
    <w:name w:val="Footer Char"/>
    <w:basedOn w:val="DefaultParagraphFont"/>
    <w:link w:val="Footer"/>
    <w:uiPriority w:val="99"/>
    <w:rsid w:val="00282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432396">
      <w:bodyDiv w:val="1"/>
      <w:marLeft w:val="0"/>
      <w:marRight w:val="0"/>
      <w:marTop w:val="0"/>
      <w:marBottom w:val="0"/>
      <w:divBdr>
        <w:top w:val="none" w:sz="0" w:space="0" w:color="auto"/>
        <w:left w:val="none" w:sz="0" w:space="0" w:color="auto"/>
        <w:bottom w:val="none" w:sz="0" w:space="0" w:color="auto"/>
        <w:right w:val="none" w:sz="0" w:space="0" w:color="auto"/>
      </w:divBdr>
      <w:divsChild>
        <w:div w:id="1768189871">
          <w:marLeft w:val="0"/>
          <w:marRight w:val="0"/>
          <w:marTop w:val="0"/>
          <w:marBottom w:val="0"/>
          <w:divBdr>
            <w:top w:val="none" w:sz="0" w:space="0" w:color="auto"/>
            <w:left w:val="none" w:sz="0" w:space="0" w:color="auto"/>
            <w:bottom w:val="none" w:sz="0" w:space="0" w:color="auto"/>
            <w:right w:val="none" w:sz="0" w:space="0" w:color="auto"/>
          </w:divBdr>
        </w:div>
      </w:divsChild>
    </w:div>
    <w:div w:id="1514756940">
      <w:bodyDiv w:val="1"/>
      <w:marLeft w:val="0"/>
      <w:marRight w:val="0"/>
      <w:marTop w:val="0"/>
      <w:marBottom w:val="0"/>
      <w:divBdr>
        <w:top w:val="none" w:sz="0" w:space="0" w:color="auto"/>
        <w:left w:val="none" w:sz="0" w:space="0" w:color="auto"/>
        <w:bottom w:val="none" w:sz="0" w:space="0" w:color="auto"/>
        <w:right w:val="none" w:sz="0" w:space="0" w:color="auto"/>
      </w:divBdr>
    </w:div>
    <w:div w:id="1820078717">
      <w:bodyDiv w:val="1"/>
      <w:marLeft w:val="0"/>
      <w:marRight w:val="0"/>
      <w:marTop w:val="0"/>
      <w:marBottom w:val="0"/>
      <w:divBdr>
        <w:top w:val="none" w:sz="0" w:space="0" w:color="auto"/>
        <w:left w:val="none" w:sz="0" w:space="0" w:color="auto"/>
        <w:bottom w:val="none" w:sz="0" w:space="0" w:color="auto"/>
        <w:right w:val="none" w:sz="0" w:space="0" w:color="auto"/>
      </w:divBdr>
      <w:divsChild>
        <w:div w:id="177039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r.doleta.gov/directives/corr_doc.cfm?DOCN=2759" TargetMode="External"/><Relationship Id="rId13" Type="http://schemas.openxmlformats.org/officeDocument/2006/relationships/hyperlink" Target="http://wdr.doleta.gov/directives/attach/TEGL/TEGL31-10ACC.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dr.doleta.gov/directives/corr_doc.cfm?DOCN=2195" TargetMode="External"/><Relationship Id="rId12" Type="http://schemas.openxmlformats.org/officeDocument/2006/relationships/hyperlink" Target="http://wdr.doleta.gov/directives/attach/TEGL/TEGL17-09a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sweb.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ederalregister.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dr.doleta.gov/directives/corr_doc.cfm?DOCN=4054"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weidmark.maria</dc:creator>
  <cp:lastModifiedBy>weidmark.maria</cp:lastModifiedBy>
  <cp:revision>3</cp:revision>
  <cp:lastPrinted>2013-01-25T15:59:00Z</cp:lastPrinted>
  <dcterms:created xsi:type="dcterms:W3CDTF">2013-01-25T19:23:00Z</dcterms:created>
  <dcterms:modified xsi:type="dcterms:W3CDTF">2013-01-25T19:29:00Z</dcterms:modified>
</cp:coreProperties>
</file>