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EA641" w14:textId="24182FA8" w:rsidR="00CF69CD" w:rsidRPr="003D523A" w:rsidRDefault="00CF69CD" w:rsidP="00CF69CD">
      <w:pPr>
        <w:spacing w:after="240"/>
        <w:rPr>
          <w:rFonts w:ascii="Arial" w:hAnsi="Arial" w:cs="Arial"/>
          <w:i/>
          <w:szCs w:val="21"/>
        </w:rPr>
      </w:pPr>
      <w:bookmarkStart w:id="0" w:name="_GoBack"/>
      <w:bookmarkEnd w:id="0"/>
      <w:r w:rsidRPr="003D523A">
        <w:rPr>
          <w:rFonts w:ascii="Arial" w:hAnsi="Arial" w:cs="Arial"/>
          <w:i/>
          <w:szCs w:val="21"/>
        </w:rPr>
        <w:t xml:space="preserve">Many Strengthening Working Families Initiative (SWFI) grantees are serving participants through leveraged federal resources. To support these efforts, a series of technical assistance (TA) resources are being released to SWFI grantees to provide information on these resources’ eligibility requirements for the major federal programs with which SWFI participants are likely to engage. This tip sheet focuses on eligibility requirements for Temporary Assistance for Needy Families </w:t>
      </w:r>
      <w:r w:rsidR="008556C4">
        <w:rPr>
          <w:rFonts w:ascii="Arial" w:hAnsi="Arial" w:cs="Arial"/>
          <w:i/>
          <w:szCs w:val="21"/>
        </w:rPr>
        <w:t>(</w:t>
      </w:r>
      <w:r w:rsidRPr="003D523A">
        <w:rPr>
          <w:rFonts w:ascii="Arial" w:hAnsi="Arial" w:cs="Arial"/>
          <w:i/>
          <w:szCs w:val="21"/>
        </w:rPr>
        <w:t>TANF</w:t>
      </w:r>
      <w:r w:rsidR="008556C4">
        <w:rPr>
          <w:rFonts w:ascii="Arial" w:hAnsi="Arial" w:cs="Arial"/>
          <w:i/>
          <w:szCs w:val="21"/>
        </w:rPr>
        <w:t>)</w:t>
      </w:r>
      <w:r w:rsidR="008556C4" w:rsidRPr="003D523A">
        <w:rPr>
          <w:rFonts w:ascii="Arial" w:hAnsi="Arial" w:cs="Arial"/>
          <w:i/>
          <w:szCs w:val="21"/>
        </w:rPr>
        <w:t xml:space="preserve">. </w:t>
      </w:r>
      <w:r w:rsidRPr="003D523A">
        <w:rPr>
          <w:rFonts w:ascii="Arial" w:hAnsi="Arial" w:cs="Arial"/>
          <w:i/>
          <w:szCs w:val="21"/>
        </w:rPr>
        <w:t xml:space="preserve">Subsequent tip sheets will focus on </w:t>
      </w:r>
      <w:r w:rsidR="008556C4">
        <w:rPr>
          <w:rFonts w:ascii="Arial" w:hAnsi="Arial" w:cs="Arial"/>
          <w:i/>
          <w:szCs w:val="21"/>
        </w:rPr>
        <w:t xml:space="preserve">the </w:t>
      </w:r>
      <w:r w:rsidRPr="003D523A">
        <w:rPr>
          <w:rFonts w:ascii="Arial" w:hAnsi="Arial" w:cs="Arial"/>
          <w:i/>
          <w:szCs w:val="21"/>
        </w:rPr>
        <w:t>Workforce Innova</w:t>
      </w:r>
      <w:r w:rsidR="0097097D" w:rsidRPr="003D523A">
        <w:rPr>
          <w:rFonts w:ascii="Arial" w:hAnsi="Arial" w:cs="Arial"/>
          <w:i/>
          <w:szCs w:val="21"/>
        </w:rPr>
        <w:t xml:space="preserve">tion and Opportunity Act </w:t>
      </w:r>
      <w:r w:rsidR="008556C4">
        <w:rPr>
          <w:rFonts w:ascii="Arial" w:hAnsi="Arial" w:cs="Arial"/>
          <w:i/>
          <w:szCs w:val="21"/>
        </w:rPr>
        <w:t>(</w:t>
      </w:r>
      <w:r w:rsidR="0097097D" w:rsidRPr="003D523A">
        <w:rPr>
          <w:rFonts w:ascii="Arial" w:hAnsi="Arial" w:cs="Arial"/>
          <w:i/>
          <w:szCs w:val="21"/>
        </w:rPr>
        <w:t>WIOA</w:t>
      </w:r>
      <w:r w:rsidR="008556C4">
        <w:rPr>
          <w:rFonts w:ascii="Arial" w:hAnsi="Arial" w:cs="Arial"/>
          <w:i/>
          <w:szCs w:val="21"/>
        </w:rPr>
        <w:t>)</w:t>
      </w:r>
      <w:r w:rsidR="008556C4" w:rsidRPr="003D523A">
        <w:rPr>
          <w:rFonts w:ascii="Arial" w:hAnsi="Arial" w:cs="Arial"/>
          <w:i/>
          <w:szCs w:val="21"/>
        </w:rPr>
        <w:t xml:space="preserve"> </w:t>
      </w:r>
      <w:r w:rsidRPr="003D523A">
        <w:rPr>
          <w:rFonts w:ascii="Arial" w:hAnsi="Arial" w:cs="Arial"/>
          <w:i/>
          <w:szCs w:val="21"/>
        </w:rPr>
        <w:t xml:space="preserve">and Child Care and Development Fund </w:t>
      </w:r>
      <w:r w:rsidR="008556C4">
        <w:rPr>
          <w:rFonts w:ascii="Arial" w:hAnsi="Arial" w:cs="Arial"/>
          <w:i/>
          <w:szCs w:val="21"/>
        </w:rPr>
        <w:t>(</w:t>
      </w:r>
      <w:r w:rsidRPr="003D523A">
        <w:rPr>
          <w:rFonts w:ascii="Arial" w:hAnsi="Arial" w:cs="Arial"/>
          <w:i/>
          <w:szCs w:val="21"/>
        </w:rPr>
        <w:t>CCDF</w:t>
      </w:r>
      <w:r w:rsidR="008556C4">
        <w:rPr>
          <w:rFonts w:ascii="Arial" w:hAnsi="Arial" w:cs="Arial"/>
          <w:i/>
          <w:szCs w:val="21"/>
        </w:rPr>
        <w:t>)</w:t>
      </w:r>
      <w:r w:rsidRPr="003D523A">
        <w:rPr>
          <w:rFonts w:ascii="Arial" w:hAnsi="Arial" w:cs="Arial"/>
          <w:i/>
          <w:szCs w:val="21"/>
        </w:rPr>
        <w:t xml:space="preserve">. </w:t>
      </w:r>
    </w:p>
    <w:p w14:paraId="6B4AA0B2" w14:textId="77777777" w:rsidR="00757559" w:rsidRPr="003D523A" w:rsidRDefault="00CF69CD" w:rsidP="00CF69CD">
      <w:pPr>
        <w:spacing w:after="240"/>
        <w:rPr>
          <w:rFonts w:ascii="Arial" w:hAnsi="Arial" w:cs="Arial"/>
          <w:i/>
          <w:szCs w:val="21"/>
        </w:rPr>
      </w:pPr>
      <w:r w:rsidRPr="003D523A">
        <w:rPr>
          <w:rFonts w:ascii="Arial" w:hAnsi="Arial" w:cs="Arial"/>
          <w:i/>
          <w:szCs w:val="21"/>
        </w:rPr>
        <w:t>Complex eligibility requirements for leveraged federal programs can contribute to SWFI enrollment challenges and complicate the work of participants, case managers, and program designers in helping participants access appropriate services. Understanding a participant’s eligibility can open up funding streams, increase access to supportive services while a participant receives training or works, and ensure greater stability for families. Since state guidelines can differ from federal guidelines, SWFI grantees should use these tip sheets to identify where program eligibility requirements diverge in their states.</w:t>
      </w:r>
      <w:r w:rsidR="0097097D" w:rsidRPr="003D523A">
        <w:rPr>
          <w:rFonts w:ascii="Arial" w:hAnsi="Arial" w:cs="Arial"/>
          <w:i/>
          <w:szCs w:val="21"/>
        </w:rPr>
        <w:t xml:space="preserve"> </w:t>
      </w:r>
    </w:p>
    <w:p w14:paraId="5C6CCD40" w14:textId="6F655BE2" w:rsidR="00CF69CD" w:rsidRPr="00757559" w:rsidRDefault="003D523A" w:rsidP="003D523A">
      <w:pPr>
        <w:spacing w:line="240" w:lineRule="auto"/>
        <w:ind w:firstLine="0"/>
        <w:jc w:val="center"/>
        <w:rPr>
          <w:rFonts w:ascii="Arial Black" w:hAnsi="Arial Black" w:cs="Arial"/>
          <w:color w:val="FFFFFF" w:themeColor="background1"/>
          <w:sz w:val="40"/>
          <w:szCs w:val="37"/>
        </w:rPr>
      </w:pPr>
      <w:r>
        <w:rPr>
          <w:rFonts w:ascii="Arial Black" w:hAnsi="Arial Black" w:cs="Arial"/>
          <w:color w:val="FFFFFF" w:themeColor="background1"/>
          <w:sz w:val="40"/>
          <w:szCs w:val="37"/>
          <w:highlight w:val="darkBlue"/>
        </w:rPr>
        <w:t xml:space="preserve">   </w:t>
      </w:r>
      <w:r w:rsidR="00757559" w:rsidRPr="00757559">
        <w:rPr>
          <w:rFonts w:ascii="Arial Black" w:hAnsi="Arial Black" w:cs="Arial"/>
          <w:color w:val="FFFFFF" w:themeColor="background1"/>
          <w:sz w:val="40"/>
          <w:szCs w:val="37"/>
          <w:highlight w:val="darkBlue"/>
        </w:rPr>
        <w:t>TANF eligibility requirements tip shee</w:t>
      </w:r>
      <w:r w:rsidR="00757559" w:rsidRPr="003D523A">
        <w:rPr>
          <w:rFonts w:ascii="Arial Black" w:hAnsi="Arial Black" w:cs="Arial"/>
          <w:color w:val="FFFFFF" w:themeColor="background1"/>
          <w:sz w:val="40"/>
          <w:szCs w:val="37"/>
          <w:highlight w:val="darkBlue"/>
        </w:rPr>
        <w:t>t</w:t>
      </w:r>
      <w:r>
        <w:rPr>
          <w:rFonts w:ascii="Arial Black" w:hAnsi="Arial Black" w:cs="Arial"/>
          <w:color w:val="002060"/>
          <w:sz w:val="40"/>
          <w:szCs w:val="37"/>
          <w:highlight w:val="darkBlue"/>
        </w:rPr>
        <w:t xml:space="preserve">  </w:t>
      </w:r>
      <w:r w:rsidRPr="003D523A">
        <w:rPr>
          <w:rFonts w:ascii="Arial Black" w:hAnsi="Arial Black" w:cs="Arial"/>
          <w:color w:val="002060"/>
          <w:sz w:val="40"/>
          <w:szCs w:val="37"/>
          <w:highlight w:val="darkBlue"/>
        </w:rPr>
        <w:t>_</w:t>
      </w:r>
    </w:p>
    <w:p w14:paraId="1E82DFF8" w14:textId="77777777" w:rsidR="003D523A" w:rsidRDefault="003D523A" w:rsidP="003D523A">
      <w:pPr>
        <w:rPr>
          <w:rFonts w:ascii="Arial" w:hAnsi="Arial" w:cs="Arial"/>
          <w:szCs w:val="21"/>
        </w:rPr>
      </w:pPr>
    </w:p>
    <w:p w14:paraId="64909CED" w14:textId="7ECE8C6F" w:rsidR="00DC7D33" w:rsidRDefault="00C71052" w:rsidP="003D523A">
      <w:pPr>
        <w:rPr>
          <w:rFonts w:ascii="Arial" w:hAnsi="Arial" w:cs="Arial"/>
          <w:szCs w:val="21"/>
        </w:rPr>
      </w:pPr>
      <w:r w:rsidRPr="00124601">
        <w:rPr>
          <w:rFonts w:ascii="Arial" w:hAnsi="Arial" w:cs="Arial"/>
          <w:szCs w:val="21"/>
        </w:rPr>
        <w:t xml:space="preserve">This tip sheet focuses on TANF eligibility </w:t>
      </w:r>
      <w:r w:rsidR="007C31C8">
        <w:rPr>
          <w:rFonts w:ascii="Arial" w:hAnsi="Arial" w:cs="Arial"/>
          <w:szCs w:val="21"/>
        </w:rPr>
        <w:t>standard</w:t>
      </w:r>
      <w:r w:rsidR="00E93348">
        <w:rPr>
          <w:rFonts w:ascii="Arial" w:hAnsi="Arial" w:cs="Arial"/>
          <w:szCs w:val="21"/>
        </w:rPr>
        <w:t>s. It’s important to note that determin</w:t>
      </w:r>
      <w:r w:rsidR="00CF69CD">
        <w:rPr>
          <w:rFonts w:ascii="Arial" w:hAnsi="Arial" w:cs="Arial"/>
          <w:szCs w:val="21"/>
        </w:rPr>
        <w:t>in</w:t>
      </w:r>
      <w:r w:rsidR="00E93348">
        <w:rPr>
          <w:rFonts w:ascii="Arial" w:hAnsi="Arial" w:cs="Arial"/>
          <w:szCs w:val="21"/>
        </w:rPr>
        <w:t xml:space="preserve">g </w:t>
      </w:r>
      <w:r w:rsidR="00CF69CD">
        <w:rPr>
          <w:rFonts w:ascii="Arial" w:hAnsi="Arial" w:cs="Arial"/>
          <w:szCs w:val="21"/>
        </w:rPr>
        <w:t>eligibility</w:t>
      </w:r>
      <w:r w:rsidR="00E93348">
        <w:rPr>
          <w:rFonts w:ascii="Arial" w:hAnsi="Arial" w:cs="Arial"/>
          <w:szCs w:val="21"/>
        </w:rPr>
        <w:t xml:space="preserve"> </w:t>
      </w:r>
      <w:r w:rsidR="00CF69CD">
        <w:rPr>
          <w:rFonts w:ascii="Arial" w:hAnsi="Arial" w:cs="Arial"/>
          <w:szCs w:val="21"/>
        </w:rPr>
        <w:t>for TANF</w:t>
      </w:r>
      <w:r w:rsidR="00E93348">
        <w:rPr>
          <w:rFonts w:ascii="Arial" w:hAnsi="Arial" w:cs="Arial"/>
          <w:szCs w:val="21"/>
        </w:rPr>
        <w:t xml:space="preserve"> is </w:t>
      </w:r>
      <w:r w:rsidR="00CF69CD">
        <w:rPr>
          <w:rFonts w:ascii="Arial" w:hAnsi="Arial" w:cs="Arial"/>
          <w:szCs w:val="21"/>
        </w:rPr>
        <w:t>sepa</w:t>
      </w:r>
      <w:r w:rsidR="00E93348">
        <w:rPr>
          <w:rFonts w:ascii="Arial" w:hAnsi="Arial" w:cs="Arial"/>
          <w:szCs w:val="21"/>
        </w:rPr>
        <w:t>rate from and in addition to determining an individual’s eligibility to participate in the SWFI pr</w:t>
      </w:r>
      <w:r w:rsidR="00CF69CD">
        <w:rPr>
          <w:rFonts w:ascii="Arial" w:hAnsi="Arial" w:cs="Arial"/>
          <w:szCs w:val="21"/>
        </w:rPr>
        <w:t>ogram. All participants served</w:t>
      </w:r>
      <w:r w:rsidR="00E93348">
        <w:rPr>
          <w:rFonts w:ascii="Arial" w:hAnsi="Arial" w:cs="Arial"/>
          <w:szCs w:val="21"/>
        </w:rPr>
        <w:t xml:space="preserve"> must meet SWFI eligibility requirements, as </w:t>
      </w:r>
      <w:r w:rsidR="0097097D">
        <w:rPr>
          <w:rFonts w:ascii="Arial" w:hAnsi="Arial" w:cs="Arial"/>
          <w:szCs w:val="21"/>
        </w:rPr>
        <w:t>determined by the</w:t>
      </w:r>
      <w:r w:rsidR="00E93348">
        <w:rPr>
          <w:rFonts w:ascii="Arial" w:hAnsi="Arial" w:cs="Arial"/>
          <w:szCs w:val="21"/>
        </w:rPr>
        <w:t xml:space="preserve"> SWFI </w:t>
      </w:r>
      <w:r w:rsidR="00CF69CD">
        <w:rPr>
          <w:rFonts w:ascii="Arial" w:hAnsi="Arial" w:cs="Arial"/>
          <w:szCs w:val="21"/>
        </w:rPr>
        <w:t>Funding Opportunity Announc</w:t>
      </w:r>
      <w:r w:rsidR="00E93348">
        <w:rPr>
          <w:rFonts w:ascii="Arial" w:hAnsi="Arial" w:cs="Arial"/>
          <w:szCs w:val="21"/>
        </w:rPr>
        <w:t>ement (FOA) and your project’s grant statement of work.</w:t>
      </w:r>
      <w:r w:rsidR="0097097D">
        <w:rPr>
          <w:rFonts w:ascii="Arial" w:hAnsi="Arial" w:cs="Arial"/>
          <w:szCs w:val="21"/>
        </w:rPr>
        <w:t xml:space="preserve"> </w:t>
      </w:r>
    </w:p>
    <w:p w14:paraId="405F4DFC" w14:textId="77777777" w:rsidR="008556C4" w:rsidRPr="00124601" w:rsidRDefault="008556C4" w:rsidP="003D523A">
      <w:pPr>
        <w:rPr>
          <w:rFonts w:ascii="Arial" w:hAnsi="Arial" w:cs="Arial"/>
          <w:szCs w:val="21"/>
        </w:rPr>
      </w:pPr>
    </w:p>
    <w:p w14:paraId="13F4865B" w14:textId="0847F0EF" w:rsidR="008A309B" w:rsidRPr="00124601" w:rsidRDefault="00E93348" w:rsidP="00EC2FE1">
      <w:pPr>
        <w:spacing w:after="240"/>
        <w:rPr>
          <w:rFonts w:ascii="Arial" w:hAnsi="Arial" w:cs="Arial"/>
        </w:rPr>
      </w:pPr>
      <w:r>
        <w:rPr>
          <w:rFonts w:ascii="Arial" w:hAnsi="Arial" w:cs="Arial"/>
        </w:rPr>
        <w:t>When determining eligibility for SWFI participant</w:t>
      </w:r>
      <w:r w:rsidR="003F336B">
        <w:rPr>
          <w:rFonts w:ascii="Arial" w:hAnsi="Arial" w:cs="Arial"/>
        </w:rPr>
        <w:t>s</w:t>
      </w:r>
      <w:r>
        <w:rPr>
          <w:rFonts w:ascii="Arial" w:hAnsi="Arial" w:cs="Arial"/>
        </w:rPr>
        <w:t xml:space="preserve"> to receive other federal resources, </w:t>
      </w:r>
      <w:r w:rsidR="00E9485E">
        <w:rPr>
          <w:rFonts w:ascii="Arial" w:hAnsi="Arial" w:cs="Arial"/>
        </w:rPr>
        <w:t>g</w:t>
      </w:r>
      <w:r w:rsidR="008A309B" w:rsidRPr="00124601">
        <w:rPr>
          <w:rFonts w:ascii="Arial" w:hAnsi="Arial" w:cs="Arial"/>
        </w:rPr>
        <w:t xml:space="preserve">rantees should </w:t>
      </w:r>
      <w:r w:rsidR="00E9485E">
        <w:rPr>
          <w:rFonts w:ascii="Arial" w:hAnsi="Arial" w:cs="Arial"/>
        </w:rPr>
        <w:t>consider</w:t>
      </w:r>
      <w:r w:rsidR="008A309B" w:rsidRPr="00124601">
        <w:rPr>
          <w:rFonts w:ascii="Arial" w:hAnsi="Arial" w:cs="Arial"/>
        </w:rPr>
        <w:t xml:space="preserve"> the following questions </w:t>
      </w:r>
      <w:r w:rsidR="00E9485E">
        <w:rPr>
          <w:rFonts w:ascii="Arial" w:hAnsi="Arial" w:cs="Arial"/>
        </w:rPr>
        <w:t>when reviewing</w:t>
      </w:r>
      <w:r w:rsidR="008A309B" w:rsidRPr="00124601">
        <w:rPr>
          <w:rFonts w:ascii="Arial" w:hAnsi="Arial" w:cs="Arial"/>
        </w:rPr>
        <w:t xml:space="preserve"> state rules and how those may differ from federal policies:</w:t>
      </w:r>
    </w:p>
    <w:p w14:paraId="26D30A75" w14:textId="233F9E1B" w:rsidR="008A309B" w:rsidRPr="00124601" w:rsidRDefault="008A309B" w:rsidP="00EC2FE1">
      <w:pPr>
        <w:numPr>
          <w:ilvl w:val="0"/>
          <w:numId w:val="12"/>
        </w:numPr>
        <w:spacing w:after="120"/>
        <w:ind w:left="720"/>
        <w:rPr>
          <w:rFonts w:ascii="Arial" w:hAnsi="Arial" w:cs="Arial"/>
        </w:rPr>
      </w:pPr>
      <w:r w:rsidRPr="00124601">
        <w:rPr>
          <w:rFonts w:ascii="Arial" w:hAnsi="Arial" w:cs="Arial"/>
        </w:rPr>
        <w:t xml:space="preserve">Is there a state or centralized clearinghouse that can provide clear information about how </w:t>
      </w:r>
      <w:r w:rsidR="00E9485E">
        <w:rPr>
          <w:rFonts w:ascii="Arial" w:hAnsi="Arial" w:cs="Arial"/>
        </w:rPr>
        <w:t>the</w:t>
      </w:r>
      <w:r w:rsidR="00E9485E" w:rsidRPr="00124601">
        <w:rPr>
          <w:rFonts w:ascii="Arial" w:hAnsi="Arial" w:cs="Arial"/>
        </w:rPr>
        <w:t xml:space="preserve"> </w:t>
      </w:r>
      <w:r w:rsidRPr="00124601">
        <w:rPr>
          <w:rFonts w:ascii="Arial" w:hAnsi="Arial" w:cs="Arial"/>
        </w:rPr>
        <w:t>state’s eligibility standards differ from federal standards for TANF</w:t>
      </w:r>
      <w:r w:rsidR="008556C4">
        <w:rPr>
          <w:rFonts w:ascii="Arial" w:hAnsi="Arial" w:cs="Arial"/>
        </w:rPr>
        <w:t>?</w:t>
      </w:r>
    </w:p>
    <w:p w14:paraId="0944E33A" w14:textId="5C26AA91" w:rsidR="008A309B" w:rsidRPr="00124601" w:rsidRDefault="008A309B" w:rsidP="00EC2FE1">
      <w:pPr>
        <w:numPr>
          <w:ilvl w:val="0"/>
          <w:numId w:val="12"/>
        </w:numPr>
        <w:spacing w:after="120"/>
        <w:ind w:left="720"/>
        <w:rPr>
          <w:rFonts w:ascii="Arial" w:hAnsi="Arial" w:cs="Arial"/>
        </w:rPr>
      </w:pPr>
      <w:r w:rsidRPr="00124601">
        <w:rPr>
          <w:rFonts w:ascii="Arial" w:hAnsi="Arial" w:cs="Arial"/>
        </w:rPr>
        <w:t xml:space="preserve">Are there other programs in </w:t>
      </w:r>
      <w:r w:rsidR="00E9485E">
        <w:rPr>
          <w:rFonts w:ascii="Arial" w:hAnsi="Arial" w:cs="Arial"/>
        </w:rPr>
        <w:t>the</w:t>
      </w:r>
      <w:r w:rsidR="00E9485E" w:rsidRPr="00124601">
        <w:rPr>
          <w:rFonts w:ascii="Arial" w:hAnsi="Arial" w:cs="Arial"/>
        </w:rPr>
        <w:t xml:space="preserve"> </w:t>
      </w:r>
      <w:r w:rsidRPr="00124601">
        <w:rPr>
          <w:rFonts w:ascii="Arial" w:hAnsi="Arial" w:cs="Arial"/>
        </w:rPr>
        <w:t>state that are particularly relevant for SWFI participants? (For example, families under 130 percent of the poverty line may qualify for Early Head Start and Head Start).</w:t>
      </w:r>
    </w:p>
    <w:p w14:paraId="32CDEECE" w14:textId="526A5FF4" w:rsidR="008A309B" w:rsidRPr="00124601" w:rsidRDefault="008A309B" w:rsidP="00EC2FE1">
      <w:pPr>
        <w:numPr>
          <w:ilvl w:val="0"/>
          <w:numId w:val="12"/>
        </w:numPr>
        <w:spacing w:after="120"/>
        <w:ind w:left="720"/>
        <w:rPr>
          <w:rFonts w:ascii="Arial" w:hAnsi="Arial" w:cs="Arial"/>
        </w:rPr>
      </w:pPr>
      <w:r w:rsidRPr="00124601">
        <w:rPr>
          <w:rFonts w:ascii="Arial" w:hAnsi="Arial" w:cs="Arial"/>
        </w:rPr>
        <w:t xml:space="preserve">Do any particular challenges arise from </w:t>
      </w:r>
      <w:r w:rsidR="00E9485E">
        <w:rPr>
          <w:rFonts w:ascii="Arial" w:hAnsi="Arial" w:cs="Arial"/>
        </w:rPr>
        <w:t>the</w:t>
      </w:r>
      <w:r w:rsidR="00E9485E" w:rsidRPr="00124601">
        <w:rPr>
          <w:rFonts w:ascii="Arial" w:hAnsi="Arial" w:cs="Arial"/>
        </w:rPr>
        <w:t xml:space="preserve"> </w:t>
      </w:r>
      <w:r w:rsidRPr="00124601">
        <w:rPr>
          <w:rFonts w:ascii="Arial" w:hAnsi="Arial" w:cs="Arial"/>
        </w:rPr>
        <w:t xml:space="preserve">state’s eligibility standards? Are any notable populations of SWFI participants eligible for one program and not the other? </w:t>
      </w:r>
    </w:p>
    <w:p w14:paraId="214F1A4C" w14:textId="74560CBC" w:rsidR="008A309B" w:rsidRPr="00124601" w:rsidRDefault="008A309B" w:rsidP="00EC2FE1">
      <w:pPr>
        <w:numPr>
          <w:ilvl w:val="0"/>
          <w:numId w:val="12"/>
        </w:numPr>
        <w:spacing w:after="120"/>
        <w:ind w:left="720"/>
        <w:rPr>
          <w:rFonts w:ascii="Arial" w:hAnsi="Arial" w:cs="Arial"/>
        </w:rPr>
      </w:pPr>
      <w:r w:rsidRPr="00124601">
        <w:rPr>
          <w:rFonts w:ascii="Arial" w:hAnsi="Arial" w:cs="Arial"/>
        </w:rPr>
        <w:t xml:space="preserve">Do state rules create any flexibility in navigating federal eligibility challenges? </w:t>
      </w:r>
    </w:p>
    <w:p w14:paraId="42AF30D2" w14:textId="74E8AB32" w:rsidR="00633E9F" w:rsidRPr="00124601" w:rsidRDefault="00633E9F">
      <w:pPr>
        <w:spacing w:after="240" w:line="240" w:lineRule="auto"/>
        <w:ind w:firstLine="0"/>
        <w:rPr>
          <w:rFonts w:ascii="Arial" w:hAnsi="Arial" w:cs="Arial"/>
        </w:rPr>
      </w:pPr>
      <w:r w:rsidRPr="00124601">
        <w:rPr>
          <w:rFonts w:ascii="Arial" w:hAnsi="Arial" w:cs="Arial"/>
        </w:rPr>
        <w:br w:type="page"/>
      </w:r>
    </w:p>
    <w:p w14:paraId="2B8B52D3" w14:textId="730D1407" w:rsidR="003E05C9" w:rsidRPr="00124601" w:rsidRDefault="003E05C9" w:rsidP="00633E9F">
      <w:pPr>
        <w:pStyle w:val="H2Alpha"/>
        <w:keepNext w:val="0"/>
        <w:rPr>
          <w:rFonts w:cs="Arial"/>
        </w:rPr>
      </w:pPr>
      <w:r w:rsidRPr="00124601">
        <w:rPr>
          <w:rFonts w:cs="Arial"/>
        </w:rPr>
        <w:lastRenderedPageBreak/>
        <w:t xml:space="preserve">Tips for navigating </w:t>
      </w:r>
      <w:r w:rsidR="00C71052" w:rsidRPr="00124601">
        <w:rPr>
          <w:rFonts w:cs="Arial"/>
        </w:rPr>
        <w:t>TANF</w:t>
      </w:r>
      <w:r w:rsidRPr="00124601">
        <w:rPr>
          <w:rFonts w:cs="Arial"/>
        </w:rPr>
        <w:t xml:space="preserve"> eligibility</w:t>
      </w:r>
    </w:p>
    <w:p w14:paraId="3B776E04" w14:textId="4E9DBCC7" w:rsidR="003E05C9" w:rsidRPr="00124601" w:rsidRDefault="003E05C9" w:rsidP="00633E9F">
      <w:pPr>
        <w:pStyle w:val="H3Alpha"/>
        <w:keepNext w:val="0"/>
        <w:rPr>
          <w:rFonts w:ascii="Arial" w:hAnsi="Arial" w:cs="Arial"/>
        </w:rPr>
      </w:pPr>
    </w:p>
    <w:tbl>
      <w:tblPr>
        <w:tblStyle w:val="ListTable4-Accent51"/>
        <w:tblW w:w="5000" w:type="pct"/>
        <w:tblBorders>
          <w:top w:val="single" w:sz="4" w:space="0" w:color="92CDDC"/>
          <w:left w:val="single" w:sz="4" w:space="0" w:color="92CDDC"/>
          <w:bottom w:val="single" w:sz="4" w:space="0" w:color="92CDDC"/>
          <w:right w:val="single" w:sz="4" w:space="0" w:color="92CDDC"/>
          <w:insideH w:val="single" w:sz="4" w:space="0" w:color="92CDDC"/>
        </w:tblBorders>
        <w:tblLook w:val="0620" w:firstRow="1" w:lastRow="0" w:firstColumn="0" w:lastColumn="0" w:noHBand="1" w:noVBand="1"/>
      </w:tblPr>
      <w:tblGrid>
        <w:gridCol w:w="1547"/>
        <w:gridCol w:w="4147"/>
        <w:gridCol w:w="3656"/>
      </w:tblGrid>
      <w:tr w:rsidR="00124601" w:rsidRPr="00124601" w14:paraId="3E71C3AE" w14:textId="77777777" w:rsidTr="001A2939">
        <w:trPr>
          <w:cnfStyle w:val="100000000000" w:firstRow="1" w:lastRow="0" w:firstColumn="0" w:lastColumn="0" w:oddVBand="0" w:evenVBand="0" w:oddHBand="0" w:evenHBand="0" w:firstRowFirstColumn="0" w:firstRowLastColumn="0" w:lastRowFirstColumn="0" w:lastRowLastColumn="0"/>
          <w:cantSplit/>
          <w:trHeight w:val="288"/>
          <w:tblHeader/>
        </w:trPr>
        <w:tc>
          <w:tcPr>
            <w:tcW w:w="5000" w:type="pct"/>
            <w:gridSpan w:val="3"/>
          </w:tcPr>
          <w:p w14:paraId="74FA3936" w14:textId="463C61E1" w:rsidR="005A5FF3" w:rsidRPr="00124601" w:rsidRDefault="005A5FF3" w:rsidP="00633E9F">
            <w:pPr>
              <w:pStyle w:val="TableHeaderCenter"/>
              <w:spacing w:before="120" w:after="120" w:line="240" w:lineRule="auto"/>
              <w:rPr>
                <w:rFonts w:ascii="Arial Black" w:hAnsi="Arial Black" w:cs="Arial"/>
                <w:b/>
                <w:sz w:val="24"/>
              </w:rPr>
            </w:pPr>
            <w:r w:rsidRPr="00124601">
              <w:rPr>
                <w:rFonts w:ascii="Arial Black" w:hAnsi="Arial Black" w:cs="Arial"/>
                <w:b/>
                <w:sz w:val="24"/>
              </w:rPr>
              <w:t>TANF Cash Assistance</w:t>
            </w:r>
          </w:p>
        </w:tc>
      </w:tr>
      <w:tr w:rsidR="00EC2FE1" w:rsidRPr="00124601" w14:paraId="66782950" w14:textId="77777777" w:rsidTr="001A2939">
        <w:trPr>
          <w:cnfStyle w:val="100000000000" w:firstRow="1" w:lastRow="0" w:firstColumn="0" w:lastColumn="0" w:oddVBand="0" w:evenVBand="0" w:oddHBand="0" w:evenHBand="0" w:firstRowFirstColumn="0" w:firstRowLastColumn="0" w:lastRowFirstColumn="0" w:lastRowLastColumn="0"/>
          <w:cantSplit/>
          <w:trHeight w:val="288"/>
          <w:tblHeader/>
        </w:trPr>
        <w:tc>
          <w:tcPr>
            <w:tcW w:w="827" w:type="pct"/>
            <w:tcBorders>
              <w:bottom w:val="single" w:sz="4" w:space="0" w:color="92CDDC"/>
            </w:tcBorders>
            <w:shd w:val="clear" w:color="auto" w:fill="DAEEF3" w:themeFill="accent5" w:themeFillTint="33"/>
          </w:tcPr>
          <w:p w14:paraId="5DEBC80D" w14:textId="2C184865" w:rsidR="00A563A5" w:rsidRPr="00124601" w:rsidRDefault="00A563A5" w:rsidP="00C714E8">
            <w:pPr>
              <w:pStyle w:val="TableHeaderLeft"/>
              <w:rPr>
                <w:rFonts w:ascii="Arial Black" w:hAnsi="Arial Black" w:cs="Arial"/>
                <w:b/>
                <w:color w:val="auto"/>
                <w:sz w:val="20"/>
                <w:szCs w:val="21"/>
              </w:rPr>
            </w:pPr>
            <w:r w:rsidRPr="00124601">
              <w:rPr>
                <w:rFonts w:ascii="Arial Black" w:hAnsi="Arial Black" w:cs="Arial"/>
                <w:b/>
                <w:color w:val="auto"/>
                <w:sz w:val="20"/>
                <w:szCs w:val="21"/>
              </w:rPr>
              <w:t>Category of Eligibility Standard</w:t>
            </w:r>
          </w:p>
        </w:tc>
        <w:tc>
          <w:tcPr>
            <w:tcW w:w="2218" w:type="pct"/>
            <w:tcBorders>
              <w:bottom w:val="single" w:sz="4" w:space="0" w:color="92CDDC"/>
            </w:tcBorders>
            <w:shd w:val="clear" w:color="auto" w:fill="DAEEF3" w:themeFill="accent5" w:themeFillTint="33"/>
            <w:vAlign w:val="bottom"/>
          </w:tcPr>
          <w:p w14:paraId="39668C5F" w14:textId="1385D16C" w:rsidR="00A563A5" w:rsidRPr="00124601" w:rsidRDefault="008114C8" w:rsidP="00633E9F">
            <w:pPr>
              <w:pStyle w:val="TableHeaderCenter"/>
              <w:jc w:val="left"/>
              <w:rPr>
                <w:rFonts w:ascii="Arial Black" w:hAnsi="Arial Black" w:cs="Arial"/>
                <w:b/>
                <w:color w:val="auto"/>
                <w:sz w:val="20"/>
                <w:szCs w:val="21"/>
              </w:rPr>
            </w:pPr>
            <w:r>
              <w:rPr>
                <w:rFonts w:ascii="Arial Black" w:hAnsi="Arial Black" w:cs="Arial"/>
                <w:b/>
                <w:color w:val="auto"/>
                <w:sz w:val="20"/>
                <w:szCs w:val="21"/>
              </w:rPr>
              <w:t>Federal E</w:t>
            </w:r>
            <w:r w:rsidR="00A563A5" w:rsidRPr="00124601">
              <w:rPr>
                <w:rFonts w:ascii="Arial Black" w:hAnsi="Arial Black" w:cs="Arial"/>
                <w:b/>
                <w:color w:val="auto"/>
                <w:sz w:val="20"/>
                <w:szCs w:val="21"/>
              </w:rPr>
              <w:t>ligibility Standard</w:t>
            </w:r>
          </w:p>
        </w:tc>
        <w:tc>
          <w:tcPr>
            <w:tcW w:w="1955" w:type="pct"/>
            <w:tcBorders>
              <w:bottom w:val="single" w:sz="4" w:space="0" w:color="92CDDC"/>
            </w:tcBorders>
            <w:shd w:val="clear" w:color="auto" w:fill="DAEEF3" w:themeFill="accent5" w:themeFillTint="33"/>
            <w:vAlign w:val="bottom"/>
          </w:tcPr>
          <w:p w14:paraId="2E23E8E9" w14:textId="6ED56317" w:rsidR="00A563A5" w:rsidRPr="00124601" w:rsidRDefault="00893A1F" w:rsidP="00633E9F">
            <w:pPr>
              <w:pStyle w:val="TableHeaderCenter"/>
              <w:jc w:val="left"/>
              <w:rPr>
                <w:rFonts w:ascii="Arial Black" w:hAnsi="Arial Black" w:cs="Arial"/>
                <w:b/>
                <w:color w:val="auto"/>
                <w:sz w:val="20"/>
                <w:szCs w:val="21"/>
              </w:rPr>
            </w:pPr>
            <w:r w:rsidRPr="00124601">
              <w:rPr>
                <w:rFonts w:ascii="Arial Black" w:hAnsi="Arial Black" w:cs="Arial"/>
                <w:b/>
                <w:color w:val="auto"/>
                <w:sz w:val="20"/>
                <w:szCs w:val="21"/>
              </w:rPr>
              <w:t>Details and</w:t>
            </w:r>
            <w:r w:rsidR="00A563A5" w:rsidRPr="00124601">
              <w:rPr>
                <w:rFonts w:ascii="Arial Black" w:hAnsi="Arial Black" w:cs="Arial"/>
                <w:b/>
                <w:color w:val="auto"/>
                <w:sz w:val="20"/>
                <w:szCs w:val="21"/>
              </w:rPr>
              <w:t xml:space="preserve"> State-by-State Differences</w:t>
            </w:r>
          </w:p>
        </w:tc>
      </w:tr>
      <w:tr w:rsidR="00EC2FE1" w:rsidRPr="00124601" w14:paraId="5123F261" w14:textId="77777777" w:rsidTr="001A2939">
        <w:trPr>
          <w:cantSplit/>
        </w:trPr>
        <w:tc>
          <w:tcPr>
            <w:tcW w:w="827" w:type="pct"/>
            <w:tcBorders>
              <w:bottom w:val="nil"/>
            </w:tcBorders>
          </w:tcPr>
          <w:p w14:paraId="7A0B876E" w14:textId="25579A59" w:rsidR="00A563A5" w:rsidRPr="00124601" w:rsidRDefault="00A563A5" w:rsidP="00EC2FE1">
            <w:pPr>
              <w:pStyle w:val="TableText"/>
              <w:spacing w:before="60" w:after="60" w:line="240" w:lineRule="auto"/>
              <w:rPr>
                <w:rFonts w:ascii="Arial" w:hAnsi="Arial" w:cs="Arial"/>
                <w:b/>
                <w:sz w:val="21"/>
                <w:szCs w:val="21"/>
              </w:rPr>
            </w:pPr>
            <w:r w:rsidRPr="00124601">
              <w:rPr>
                <w:rFonts w:ascii="Arial" w:hAnsi="Arial" w:cs="Arial"/>
                <w:b/>
                <w:sz w:val="21"/>
                <w:szCs w:val="21"/>
              </w:rPr>
              <w:t>Members of household</w:t>
            </w:r>
          </w:p>
        </w:tc>
        <w:tc>
          <w:tcPr>
            <w:tcW w:w="2218" w:type="pct"/>
            <w:tcBorders>
              <w:bottom w:val="nil"/>
            </w:tcBorders>
          </w:tcPr>
          <w:p w14:paraId="3B1EE313" w14:textId="77777777" w:rsidR="00A563A5" w:rsidRPr="000865F3" w:rsidRDefault="00A563A5" w:rsidP="00F258AA">
            <w:pPr>
              <w:pStyle w:val="TableText"/>
              <w:spacing w:before="60" w:after="60" w:line="240" w:lineRule="auto"/>
              <w:rPr>
                <w:rFonts w:ascii="Arial" w:hAnsi="Arial" w:cs="Arial"/>
                <w:sz w:val="20"/>
              </w:rPr>
            </w:pPr>
            <w:r w:rsidRPr="000865F3">
              <w:rPr>
                <w:rFonts w:ascii="Arial" w:hAnsi="Arial" w:cs="Arial"/>
                <w:sz w:val="20"/>
              </w:rPr>
              <w:t>Families with a dependent child (under age 18, or age 18 if enrolled in secondary school)</w:t>
            </w:r>
          </w:p>
          <w:p w14:paraId="275778C7" w14:textId="2AFA26BF" w:rsidR="0075544A" w:rsidRPr="000865F3" w:rsidRDefault="0075544A" w:rsidP="00F258AA">
            <w:pPr>
              <w:pStyle w:val="TableText"/>
              <w:spacing w:before="60" w:after="60" w:line="240" w:lineRule="auto"/>
              <w:rPr>
                <w:rFonts w:ascii="Arial" w:hAnsi="Arial" w:cs="Arial"/>
                <w:sz w:val="18"/>
                <w:szCs w:val="18"/>
              </w:rPr>
            </w:pPr>
            <w:r w:rsidRPr="000865F3">
              <w:rPr>
                <w:rFonts w:ascii="Arial" w:hAnsi="Arial" w:cs="Arial"/>
                <w:sz w:val="18"/>
                <w:szCs w:val="18"/>
              </w:rPr>
              <w:t xml:space="preserve">(see </w:t>
            </w:r>
            <w:hyperlink r:id="rId12" w:history="1">
              <w:r w:rsidRPr="000865F3">
                <w:rPr>
                  <w:rStyle w:val="Hyperlink"/>
                  <w:rFonts w:ascii="Arial" w:hAnsi="Arial" w:cs="Arial"/>
                  <w:sz w:val="18"/>
                  <w:szCs w:val="18"/>
                </w:rPr>
                <w:t>https://fas.org/sgp/crs/misc/R43634.pdf</w:t>
              </w:r>
            </w:hyperlink>
            <w:r w:rsidRPr="000865F3">
              <w:rPr>
                <w:rFonts w:ascii="Arial" w:hAnsi="Arial" w:cs="Arial"/>
                <w:sz w:val="18"/>
                <w:szCs w:val="18"/>
              </w:rPr>
              <w:t xml:space="preserve"> for further information)</w:t>
            </w:r>
          </w:p>
        </w:tc>
        <w:tc>
          <w:tcPr>
            <w:tcW w:w="1955" w:type="pct"/>
            <w:tcBorders>
              <w:bottom w:val="nil"/>
            </w:tcBorders>
          </w:tcPr>
          <w:p w14:paraId="61C140D5" w14:textId="5AA13851" w:rsidR="00A563A5" w:rsidRPr="000865F3" w:rsidRDefault="00C721F1" w:rsidP="003C7C5D">
            <w:pPr>
              <w:pStyle w:val="TableText"/>
              <w:spacing w:before="60" w:after="60" w:line="240" w:lineRule="auto"/>
              <w:rPr>
                <w:rFonts w:ascii="Arial" w:hAnsi="Arial" w:cs="Arial"/>
                <w:sz w:val="20"/>
              </w:rPr>
            </w:pPr>
            <w:r w:rsidRPr="000865F3">
              <w:rPr>
                <w:rFonts w:ascii="Arial" w:hAnsi="Arial" w:cs="Arial"/>
                <w:sz w:val="20"/>
              </w:rPr>
              <w:t>Note that there are child-only TANF cases, but this is not applicable for SWFI participants</w:t>
            </w:r>
            <w:r w:rsidR="008556C4">
              <w:rPr>
                <w:rFonts w:ascii="Arial" w:hAnsi="Arial" w:cs="Arial"/>
                <w:sz w:val="20"/>
              </w:rPr>
              <w:t>.</w:t>
            </w:r>
            <w:r w:rsidRPr="000865F3">
              <w:rPr>
                <w:rFonts w:ascii="Arial" w:hAnsi="Arial" w:cs="Arial"/>
                <w:sz w:val="20"/>
              </w:rPr>
              <w:t xml:space="preserve"> </w:t>
            </w:r>
          </w:p>
        </w:tc>
      </w:tr>
      <w:tr w:rsidR="00EC2FE1" w:rsidRPr="00124601" w14:paraId="0D65F379" w14:textId="77777777" w:rsidTr="001A2939">
        <w:trPr>
          <w:cantSplit/>
        </w:trPr>
        <w:tc>
          <w:tcPr>
            <w:tcW w:w="827" w:type="pct"/>
            <w:tcBorders>
              <w:top w:val="nil"/>
              <w:bottom w:val="nil"/>
            </w:tcBorders>
          </w:tcPr>
          <w:p w14:paraId="6B165757" w14:textId="5C0FDA23" w:rsidR="00A563A5" w:rsidRPr="00124601" w:rsidRDefault="00A563A5" w:rsidP="00EC2FE1">
            <w:pPr>
              <w:pStyle w:val="TableText"/>
              <w:spacing w:before="60" w:after="60" w:line="240" w:lineRule="auto"/>
              <w:rPr>
                <w:rFonts w:ascii="Arial" w:hAnsi="Arial" w:cs="Arial"/>
                <w:sz w:val="21"/>
                <w:szCs w:val="21"/>
              </w:rPr>
            </w:pPr>
          </w:p>
        </w:tc>
        <w:tc>
          <w:tcPr>
            <w:tcW w:w="2218" w:type="pct"/>
            <w:tcBorders>
              <w:top w:val="nil"/>
              <w:bottom w:val="nil"/>
            </w:tcBorders>
          </w:tcPr>
          <w:p w14:paraId="53219838" w14:textId="77DAE88C" w:rsidR="00A563A5" w:rsidRPr="000865F3" w:rsidRDefault="00A563A5" w:rsidP="008556C4">
            <w:pPr>
              <w:pStyle w:val="TableText"/>
              <w:spacing w:before="60" w:after="60" w:line="240" w:lineRule="auto"/>
              <w:rPr>
                <w:rFonts w:ascii="Arial" w:hAnsi="Arial" w:cs="Arial"/>
                <w:sz w:val="20"/>
              </w:rPr>
            </w:pPr>
            <w:r w:rsidRPr="000865F3">
              <w:rPr>
                <w:rFonts w:ascii="Arial" w:hAnsi="Arial" w:cs="Arial"/>
                <w:sz w:val="20"/>
              </w:rPr>
              <w:t>Ineligible household members can include adult</w:t>
            </w:r>
            <w:r w:rsidR="008556C4">
              <w:rPr>
                <w:rFonts w:ascii="Arial" w:hAnsi="Arial" w:cs="Arial"/>
                <w:sz w:val="20"/>
              </w:rPr>
              <w:t>s</w:t>
            </w:r>
            <w:r w:rsidRPr="000865F3">
              <w:rPr>
                <w:rFonts w:ascii="Arial" w:hAnsi="Arial" w:cs="Arial"/>
                <w:sz w:val="20"/>
              </w:rPr>
              <w:t xml:space="preserve"> who </w:t>
            </w:r>
            <w:r w:rsidR="008556C4" w:rsidRPr="000865F3">
              <w:rPr>
                <w:rFonts w:ascii="Arial" w:hAnsi="Arial" w:cs="Arial"/>
                <w:sz w:val="20"/>
              </w:rPr>
              <w:t>ha</w:t>
            </w:r>
            <w:r w:rsidR="008556C4">
              <w:rPr>
                <w:rFonts w:ascii="Arial" w:hAnsi="Arial" w:cs="Arial"/>
                <w:sz w:val="20"/>
              </w:rPr>
              <w:t>ve</w:t>
            </w:r>
            <w:r w:rsidR="008556C4" w:rsidRPr="000865F3">
              <w:rPr>
                <w:rFonts w:ascii="Arial" w:hAnsi="Arial" w:cs="Arial"/>
                <w:sz w:val="20"/>
              </w:rPr>
              <w:t xml:space="preserve"> </w:t>
            </w:r>
            <w:r w:rsidRPr="000865F3">
              <w:rPr>
                <w:rFonts w:ascii="Arial" w:hAnsi="Arial" w:cs="Arial"/>
                <w:sz w:val="20"/>
              </w:rPr>
              <w:t>received assistance for &gt;60 months, teen parent</w:t>
            </w:r>
            <w:r w:rsidR="008556C4">
              <w:rPr>
                <w:rFonts w:ascii="Arial" w:hAnsi="Arial" w:cs="Arial"/>
                <w:sz w:val="20"/>
              </w:rPr>
              <w:t>s</w:t>
            </w:r>
            <w:r w:rsidRPr="000865F3">
              <w:rPr>
                <w:rFonts w:ascii="Arial" w:hAnsi="Arial" w:cs="Arial"/>
                <w:sz w:val="20"/>
              </w:rPr>
              <w:t xml:space="preserve"> in unsupervised setting</w:t>
            </w:r>
            <w:r w:rsidR="008556C4">
              <w:rPr>
                <w:rFonts w:ascii="Arial" w:hAnsi="Arial" w:cs="Arial"/>
                <w:sz w:val="20"/>
              </w:rPr>
              <w:t>s</w:t>
            </w:r>
            <w:r w:rsidRPr="000865F3">
              <w:rPr>
                <w:rFonts w:ascii="Arial" w:hAnsi="Arial" w:cs="Arial"/>
                <w:sz w:val="20"/>
              </w:rPr>
              <w:t>, felons and parole violators, teen parents not in high school after child is &gt;13 weeks, families that have not turned over rights to child support to the state, certain noncitizens</w:t>
            </w:r>
          </w:p>
        </w:tc>
        <w:tc>
          <w:tcPr>
            <w:tcW w:w="1955" w:type="pct"/>
            <w:tcBorders>
              <w:top w:val="nil"/>
              <w:bottom w:val="nil"/>
            </w:tcBorders>
          </w:tcPr>
          <w:p w14:paraId="439B519B" w14:textId="75FA5257" w:rsidR="00A563A5" w:rsidRPr="000865F3" w:rsidRDefault="00A563A5" w:rsidP="00EC2FE1">
            <w:pPr>
              <w:pStyle w:val="TableText"/>
              <w:spacing w:before="60" w:after="60" w:line="240" w:lineRule="auto"/>
              <w:rPr>
                <w:rFonts w:ascii="Arial" w:hAnsi="Arial" w:cs="Arial"/>
                <w:sz w:val="20"/>
              </w:rPr>
            </w:pPr>
            <w:r w:rsidRPr="000865F3">
              <w:rPr>
                <w:rFonts w:ascii="Arial" w:hAnsi="Arial" w:cs="Arial"/>
                <w:sz w:val="20"/>
              </w:rPr>
              <w:t xml:space="preserve">States may use funds countable toward the TANF maintenance of effort </w:t>
            </w:r>
            <w:r w:rsidR="00893A1F" w:rsidRPr="000865F3">
              <w:rPr>
                <w:rFonts w:ascii="Arial" w:hAnsi="Arial" w:cs="Arial"/>
                <w:sz w:val="20"/>
              </w:rPr>
              <w:t xml:space="preserve">(MOE) </w:t>
            </w:r>
            <w:r w:rsidRPr="000865F3">
              <w:rPr>
                <w:rFonts w:ascii="Arial" w:hAnsi="Arial" w:cs="Arial"/>
                <w:sz w:val="20"/>
              </w:rPr>
              <w:t>state spending requirement to assist these groups</w:t>
            </w:r>
            <w:r w:rsidR="008556C4">
              <w:rPr>
                <w:rFonts w:ascii="Arial" w:hAnsi="Arial" w:cs="Arial"/>
                <w:sz w:val="20"/>
              </w:rPr>
              <w:t>.</w:t>
            </w:r>
          </w:p>
          <w:p w14:paraId="3896704A" w14:textId="77777777" w:rsidR="00C721F1" w:rsidRPr="000865F3" w:rsidRDefault="00C721F1" w:rsidP="00EC2FE1">
            <w:pPr>
              <w:pStyle w:val="TableText"/>
              <w:spacing w:before="60" w:after="60" w:line="240" w:lineRule="auto"/>
              <w:rPr>
                <w:rFonts w:ascii="Arial" w:hAnsi="Arial" w:cs="Arial"/>
                <w:sz w:val="20"/>
              </w:rPr>
            </w:pPr>
          </w:p>
          <w:p w14:paraId="4AD980AC" w14:textId="267F5A7A" w:rsidR="00C721F1" w:rsidRPr="000865F3" w:rsidRDefault="00C721F1" w:rsidP="00EC2FE1">
            <w:pPr>
              <w:pStyle w:val="TableText"/>
              <w:spacing w:before="60" w:after="60" w:line="240" w:lineRule="auto"/>
              <w:rPr>
                <w:rFonts w:ascii="Arial" w:hAnsi="Arial" w:cs="Arial"/>
                <w:sz w:val="20"/>
              </w:rPr>
            </w:pPr>
          </w:p>
        </w:tc>
      </w:tr>
      <w:tr w:rsidR="00EC2FE1" w:rsidRPr="00124601" w14:paraId="69F4DD42" w14:textId="77777777" w:rsidTr="001A2939">
        <w:trPr>
          <w:cantSplit/>
        </w:trPr>
        <w:tc>
          <w:tcPr>
            <w:tcW w:w="827" w:type="pct"/>
            <w:tcBorders>
              <w:bottom w:val="nil"/>
            </w:tcBorders>
          </w:tcPr>
          <w:p w14:paraId="1C626226" w14:textId="2CC91AAE" w:rsidR="00A563A5" w:rsidRPr="00E25775" w:rsidRDefault="00A563A5" w:rsidP="00EC2FE1">
            <w:pPr>
              <w:pStyle w:val="TableText"/>
              <w:spacing w:before="60" w:after="60" w:line="240" w:lineRule="auto"/>
              <w:rPr>
                <w:rFonts w:ascii="Arial" w:hAnsi="Arial" w:cs="Arial"/>
                <w:b/>
                <w:sz w:val="21"/>
                <w:szCs w:val="21"/>
              </w:rPr>
            </w:pPr>
            <w:r w:rsidRPr="00E25775">
              <w:rPr>
                <w:rFonts w:ascii="Arial" w:hAnsi="Arial" w:cs="Arial"/>
                <w:b/>
                <w:sz w:val="21"/>
                <w:szCs w:val="21"/>
              </w:rPr>
              <w:t>Income</w:t>
            </w:r>
          </w:p>
        </w:tc>
        <w:tc>
          <w:tcPr>
            <w:tcW w:w="2218" w:type="pct"/>
            <w:tcBorders>
              <w:bottom w:val="nil"/>
            </w:tcBorders>
          </w:tcPr>
          <w:p w14:paraId="1DBD0203" w14:textId="5F4CDF30" w:rsidR="00A563A5" w:rsidRPr="000865F3" w:rsidRDefault="008114C8" w:rsidP="00F258AA">
            <w:pPr>
              <w:pStyle w:val="TableText"/>
              <w:spacing w:before="60" w:after="60" w:line="240" w:lineRule="auto"/>
              <w:rPr>
                <w:rStyle w:val="Hyperlink"/>
                <w:rFonts w:ascii="Arial" w:hAnsi="Arial" w:cs="Arial"/>
                <w:sz w:val="20"/>
                <w:vertAlign w:val="superscript"/>
              </w:rPr>
            </w:pPr>
            <w:r w:rsidRPr="000865F3">
              <w:rPr>
                <w:rFonts w:ascii="Arial" w:hAnsi="Arial" w:cs="Arial"/>
                <w:sz w:val="20"/>
              </w:rPr>
              <w:t>There is no federal standard of income threshold; states</w:t>
            </w:r>
            <w:r w:rsidR="00E319ED" w:rsidRPr="000865F3">
              <w:rPr>
                <w:rFonts w:ascii="Arial" w:hAnsi="Arial" w:cs="Arial"/>
                <w:sz w:val="20"/>
              </w:rPr>
              <w:t xml:space="preserve"> decide what their standards are</w:t>
            </w:r>
            <w:r w:rsidR="00F258AA" w:rsidRPr="000865F3">
              <w:rPr>
                <w:rFonts w:ascii="Arial" w:hAnsi="Arial" w:cs="Arial"/>
                <w:sz w:val="20"/>
              </w:rPr>
              <w:t xml:space="preserve"> for determining need</w:t>
            </w:r>
            <w:r w:rsidR="008556C4">
              <w:rPr>
                <w:rFonts w:ascii="Arial" w:hAnsi="Arial" w:cs="Arial"/>
                <w:sz w:val="20"/>
              </w:rPr>
              <w:t>.</w:t>
            </w:r>
          </w:p>
          <w:p w14:paraId="055BFB50" w14:textId="274CB35B" w:rsidR="009822A9" w:rsidRPr="000865F3" w:rsidRDefault="00E25775" w:rsidP="001A2939">
            <w:pPr>
              <w:pStyle w:val="NormalSS"/>
              <w:spacing w:line="240" w:lineRule="auto"/>
              <w:rPr>
                <w:rFonts w:ascii="Arial" w:hAnsi="Arial" w:cs="Arial"/>
                <w:sz w:val="18"/>
                <w:szCs w:val="18"/>
              </w:rPr>
            </w:pPr>
            <w:r w:rsidRPr="000865F3">
              <w:rPr>
                <w:rFonts w:ascii="Arial" w:hAnsi="Arial" w:cs="Arial"/>
                <w:sz w:val="18"/>
                <w:szCs w:val="18"/>
              </w:rPr>
              <w:t xml:space="preserve">(see </w:t>
            </w:r>
            <w:hyperlink r:id="rId13" w:history="1">
              <w:r w:rsidRPr="000865F3">
                <w:rPr>
                  <w:rStyle w:val="Hyperlink"/>
                  <w:rFonts w:ascii="Arial" w:hAnsi="Arial" w:cs="Arial"/>
                  <w:sz w:val="18"/>
                  <w:szCs w:val="18"/>
                </w:rPr>
                <w:t>https://fas.org/sgp/crs/misc/R43634.pdf</w:t>
              </w:r>
            </w:hyperlink>
            <w:r w:rsidRPr="000865F3">
              <w:rPr>
                <w:rFonts w:ascii="Arial" w:hAnsi="Arial" w:cs="Arial"/>
                <w:sz w:val="18"/>
                <w:szCs w:val="18"/>
              </w:rPr>
              <w:t>)</w:t>
            </w:r>
          </w:p>
        </w:tc>
        <w:tc>
          <w:tcPr>
            <w:tcW w:w="1955" w:type="pct"/>
            <w:tcBorders>
              <w:bottom w:val="nil"/>
            </w:tcBorders>
          </w:tcPr>
          <w:p w14:paraId="34C4E5AF" w14:textId="231B11E0" w:rsidR="00A563A5" w:rsidRPr="000865F3" w:rsidRDefault="00A563A5" w:rsidP="003C7C5D">
            <w:pPr>
              <w:pStyle w:val="TableText"/>
              <w:spacing w:before="60" w:after="60" w:line="240" w:lineRule="auto"/>
              <w:rPr>
                <w:rFonts w:ascii="Arial" w:hAnsi="Arial" w:cs="Arial"/>
                <w:sz w:val="20"/>
              </w:rPr>
            </w:pPr>
            <w:r w:rsidRPr="000865F3">
              <w:rPr>
                <w:rFonts w:ascii="Arial" w:hAnsi="Arial" w:cs="Arial"/>
                <w:sz w:val="20"/>
              </w:rPr>
              <w:t>Review your state’s threshold</w:t>
            </w:r>
            <w:r w:rsidR="008D4F8A" w:rsidRPr="000865F3">
              <w:rPr>
                <w:rFonts w:ascii="Arial" w:hAnsi="Arial" w:cs="Arial"/>
                <w:sz w:val="20"/>
              </w:rPr>
              <w:t xml:space="preserve">, as maximum monthly income standards ranged from </w:t>
            </w:r>
            <w:r w:rsidR="00E07E56" w:rsidRPr="000865F3">
              <w:rPr>
                <w:rFonts w:ascii="Arial" w:hAnsi="Arial" w:cs="Arial"/>
                <w:sz w:val="20"/>
              </w:rPr>
              <w:t>16% of poverty-level income in Alabama to 115% of the federal poverty line in Wisconsin</w:t>
            </w:r>
            <w:r w:rsidR="008556C4">
              <w:rPr>
                <w:rFonts w:ascii="Arial" w:hAnsi="Arial" w:cs="Arial"/>
                <w:sz w:val="20"/>
              </w:rPr>
              <w:t>.</w:t>
            </w:r>
            <w:r w:rsidR="0097097D">
              <w:rPr>
                <w:rFonts w:ascii="Arial" w:hAnsi="Arial" w:cs="Arial"/>
                <w:sz w:val="20"/>
              </w:rPr>
              <w:t xml:space="preserve"> </w:t>
            </w:r>
          </w:p>
        </w:tc>
      </w:tr>
      <w:tr w:rsidR="00EC2FE1" w:rsidRPr="00124601" w14:paraId="1FBC8900" w14:textId="77777777" w:rsidTr="001A2939">
        <w:trPr>
          <w:cantSplit/>
        </w:trPr>
        <w:tc>
          <w:tcPr>
            <w:tcW w:w="827" w:type="pct"/>
            <w:tcBorders>
              <w:top w:val="nil"/>
            </w:tcBorders>
          </w:tcPr>
          <w:p w14:paraId="2CBEB556" w14:textId="77777777" w:rsidR="00A563A5" w:rsidRPr="00E25775" w:rsidRDefault="00A563A5" w:rsidP="00EC2FE1">
            <w:pPr>
              <w:pStyle w:val="TableText"/>
              <w:spacing w:before="60" w:after="60" w:line="240" w:lineRule="auto"/>
              <w:rPr>
                <w:rFonts w:ascii="Arial" w:hAnsi="Arial" w:cs="Arial"/>
                <w:sz w:val="21"/>
                <w:szCs w:val="21"/>
              </w:rPr>
            </w:pPr>
          </w:p>
        </w:tc>
        <w:tc>
          <w:tcPr>
            <w:tcW w:w="2218" w:type="pct"/>
            <w:tcBorders>
              <w:top w:val="nil"/>
            </w:tcBorders>
          </w:tcPr>
          <w:p w14:paraId="7198C5B4" w14:textId="60898541" w:rsidR="00E25775" w:rsidRPr="000865F3" w:rsidRDefault="00A563A5" w:rsidP="00C023CB">
            <w:pPr>
              <w:pStyle w:val="TableText"/>
              <w:spacing w:before="60" w:after="60" w:line="240" w:lineRule="auto"/>
              <w:rPr>
                <w:rFonts w:ascii="Arial" w:hAnsi="Arial" w:cs="Arial"/>
                <w:sz w:val="20"/>
              </w:rPr>
            </w:pPr>
            <w:r w:rsidRPr="000865F3">
              <w:rPr>
                <w:rFonts w:ascii="Arial" w:hAnsi="Arial" w:cs="Arial"/>
                <w:sz w:val="20"/>
              </w:rPr>
              <w:t xml:space="preserve">For families already participating, there is no federal standard for </w:t>
            </w:r>
            <w:r w:rsidR="00C023CB" w:rsidRPr="000865F3">
              <w:rPr>
                <w:rFonts w:ascii="Arial" w:hAnsi="Arial" w:cs="Arial"/>
                <w:sz w:val="20"/>
              </w:rPr>
              <w:t>how to consider</w:t>
            </w:r>
            <w:r w:rsidRPr="000865F3">
              <w:rPr>
                <w:rFonts w:ascii="Arial" w:hAnsi="Arial" w:cs="Arial"/>
                <w:sz w:val="20"/>
              </w:rPr>
              <w:t xml:space="preserve"> new employment-relate</w:t>
            </w:r>
            <w:r w:rsidR="00E25775" w:rsidRPr="000865F3">
              <w:rPr>
                <w:rFonts w:ascii="Arial" w:hAnsi="Arial" w:cs="Arial"/>
                <w:sz w:val="20"/>
              </w:rPr>
              <w:t>d income in calculating benefits</w:t>
            </w:r>
            <w:r w:rsidR="008556C4">
              <w:rPr>
                <w:rFonts w:ascii="Arial" w:hAnsi="Arial" w:cs="Arial"/>
                <w:sz w:val="20"/>
              </w:rPr>
              <w:t>.</w:t>
            </w:r>
          </w:p>
          <w:p w14:paraId="2B3F7DB5" w14:textId="069899B0" w:rsidR="00E25775" w:rsidRPr="000865F3" w:rsidRDefault="00E25775" w:rsidP="001A2939">
            <w:pPr>
              <w:pStyle w:val="TableText"/>
              <w:spacing w:before="60" w:after="60" w:line="240" w:lineRule="auto"/>
              <w:rPr>
                <w:rFonts w:ascii="Arial" w:hAnsi="Arial" w:cs="Arial"/>
                <w:color w:val="0563C1"/>
                <w:sz w:val="18"/>
                <w:szCs w:val="18"/>
                <w:u w:val="single"/>
                <w:vertAlign w:val="superscript"/>
              </w:rPr>
            </w:pPr>
            <w:r w:rsidRPr="000865F3">
              <w:rPr>
                <w:rFonts w:ascii="Arial" w:hAnsi="Arial" w:cs="Arial"/>
                <w:sz w:val="18"/>
                <w:szCs w:val="18"/>
              </w:rPr>
              <w:t xml:space="preserve">(see </w:t>
            </w:r>
            <w:hyperlink r:id="rId14" w:history="1">
              <w:r w:rsidRPr="000865F3">
                <w:rPr>
                  <w:rStyle w:val="Hyperlink"/>
                  <w:rFonts w:ascii="Arial" w:hAnsi="Arial" w:cs="Arial"/>
                  <w:sz w:val="18"/>
                  <w:szCs w:val="18"/>
                </w:rPr>
                <w:t>https://fas.org/sgp/crs/misc/R43634.pdf</w:t>
              </w:r>
            </w:hyperlink>
            <w:r w:rsidRPr="000865F3">
              <w:rPr>
                <w:rFonts w:ascii="Arial" w:hAnsi="Arial" w:cs="Arial"/>
                <w:sz w:val="18"/>
                <w:szCs w:val="18"/>
              </w:rPr>
              <w:t>)</w:t>
            </w:r>
          </w:p>
        </w:tc>
        <w:tc>
          <w:tcPr>
            <w:tcW w:w="1955" w:type="pct"/>
            <w:tcBorders>
              <w:top w:val="nil"/>
            </w:tcBorders>
          </w:tcPr>
          <w:p w14:paraId="3DC65DF3" w14:textId="16CA0860" w:rsidR="00A563A5" w:rsidRPr="000865F3" w:rsidRDefault="00E07E56" w:rsidP="003C7C5D">
            <w:pPr>
              <w:pStyle w:val="TableText"/>
              <w:spacing w:before="60" w:after="60" w:line="240" w:lineRule="auto"/>
              <w:rPr>
                <w:rFonts w:ascii="Arial" w:hAnsi="Arial" w:cs="Arial"/>
                <w:sz w:val="20"/>
              </w:rPr>
            </w:pPr>
            <w:r w:rsidRPr="000865F3">
              <w:rPr>
                <w:rFonts w:ascii="Arial" w:hAnsi="Arial" w:cs="Arial"/>
                <w:sz w:val="20"/>
              </w:rPr>
              <w:t>If a new income source emerges during benefit receipt, some states disregard those earnings, wh</w:t>
            </w:r>
            <w:r w:rsidR="00893A1F" w:rsidRPr="000865F3">
              <w:rPr>
                <w:rFonts w:ascii="Arial" w:hAnsi="Arial" w:cs="Arial"/>
                <w:sz w:val="20"/>
              </w:rPr>
              <w:t>ereas</w:t>
            </w:r>
            <w:r w:rsidRPr="000865F3">
              <w:rPr>
                <w:rFonts w:ascii="Arial" w:hAnsi="Arial" w:cs="Arial"/>
                <w:sz w:val="20"/>
              </w:rPr>
              <w:t xml:space="preserve"> others gradually ramp down benefits. This policy ma</w:t>
            </w:r>
            <w:r w:rsidR="003C7C5D">
              <w:rPr>
                <w:rFonts w:ascii="Arial" w:hAnsi="Arial" w:cs="Arial"/>
                <w:sz w:val="20"/>
              </w:rPr>
              <w:t>y be called “earnings disregard</w:t>
            </w:r>
            <w:r w:rsidRPr="000865F3">
              <w:rPr>
                <w:rFonts w:ascii="Arial" w:hAnsi="Arial" w:cs="Arial"/>
                <w:sz w:val="20"/>
              </w:rPr>
              <w:t>”</w:t>
            </w:r>
            <w:r w:rsidR="008556C4">
              <w:rPr>
                <w:rFonts w:ascii="Arial" w:hAnsi="Arial" w:cs="Arial"/>
                <w:sz w:val="20"/>
              </w:rPr>
              <w:t>.</w:t>
            </w:r>
            <w:r w:rsidRPr="000865F3">
              <w:rPr>
                <w:rFonts w:ascii="Arial" w:hAnsi="Arial" w:cs="Arial"/>
                <w:sz w:val="20"/>
              </w:rPr>
              <w:t xml:space="preserve"> </w:t>
            </w:r>
          </w:p>
        </w:tc>
      </w:tr>
      <w:tr w:rsidR="00EC2FE1" w:rsidRPr="00124601" w14:paraId="3672341D" w14:textId="77777777" w:rsidTr="001A2939">
        <w:trPr>
          <w:cantSplit/>
        </w:trPr>
        <w:tc>
          <w:tcPr>
            <w:tcW w:w="827" w:type="pct"/>
          </w:tcPr>
          <w:p w14:paraId="6C969124" w14:textId="0CE5794A" w:rsidR="00A563A5" w:rsidRPr="00124601" w:rsidRDefault="00A563A5" w:rsidP="00124601">
            <w:pPr>
              <w:pStyle w:val="TableText"/>
              <w:keepNext/>
              <w:keepLines/>
              <w:spacing w:before="60" w:after="60" w:line="240" w:lineRule="auto"/>
              <w:rPr>
                <w:rFonts w:ascii="Arial" w:hAnsi="Arial" w:cs="Arial"/>
                <w:b/>
                <w:sz w:val="21"/>
                <w:szCs w:val="21"/>
              </w:rPr>
            </w:pPr>
            <w:r w:rsidRPr="00124601">
              <w:rPr>
                <w:rFonts w:ascii="Arial" w:hAnsi="Arial" w:cs="Arial"/>
                <w:b/>
                <w:sz w:val="21"/>
                <w:szCs w:val="21"/>
              </w:rPr>
              <w:t>Assets</w:t>
            </w:r>
          </w:p>
        </w:tc>
        <w:tc>
          <w:tcPr>
            <w:tcW w:w="2218" w:type="pct"/>
          </w:tcPr>
          <w:p w14:paraId="74B0F027" w14:textId="5FB004B8" w:rsidR="00A563A5" w:rsidRPr="000865F3" w:rsidRDefault="00A563A5" w:rsidP="00E25775">
            <w:pPr>
              <w:pStyle w:val="TableText"/>
              <w:keepNext/>
              <w:keepLines/>
              <w:spacing w:before="60" w:after="60" w:line="240" w:lineRule="auto"/>
              <w:rPr>
                <w:rFonts w:ascii="Arial" w:hAnsi="Arial" w:cs="Arial"/>
                <w:sz w:val="20"/>
              </w:rPr>
            </w:pPr>
            <w:r w:rsidRPr="000865F3">
              <w:rPr>
                <w:rFonts w:ascii="Arial" w:hAnsi="Arial" w:cs="Arial"/>
                <w:sz w:val="20"/>
              </w:rPr>
              <w:t xml:space="preserve">For families seeking new eligibility, there is no federal standard </w:t>
            </w:r>
            <w:r w:rsidR="00C25F71" w:rsidRPr="000865F3">
              <w:rPr>
                <w:rFonts w:ascii="Arial" w:hAnsi="Arial" w:cs="Arial"/>
                <w:sz w:val="20"/>
              </w:rPr>
              <w:t xml:space="preserve">for allowable </w:t>
            </w:r>
            <w:r w:rsidRPr="000865F3">
              <w:rPr>
                <w:rFonts w:ascii="Arial" w:hAnsi="Arial" w:cs="Arial"/>
                <w:sz w:val="20"/>
              </w:rPr>
              <w:t>assets</w:t>
            </w:r>
            <w:r w:rsidR="008556C4">
              <w:rPr>
                <w:rFonts w:ascii="Arial" w:hAnsi="Arial" w:cs="Arial"/>
                <w:sz w:val="20"/>
              </w:rPr>
              <w:t>.</w:t>
            </w:r>
          </w:p>
          <w:p w14:paraId="674AFF79" w14:textId="3CFB0FC4" w:rsidR="00E25775" w:rsidRPr="000865F3" w:rsidRDefault="00E25775" w:rsidP="001A2939">
            <w:pPr>
              <w:pStyle w:val="TableText"/>
              <w:keepNext/>
              <w:keepLines/>
              <w:spacing w:before="60" w:after="60" w:line="240" w:lineRule="auto"/>
              <w:rPr>
                <w:rFonts w:ascii="Arial" w:hAnsi="Arial" w:cs="Arial"/>
                <w:sz w:val="18"/>
                <w:szCs w:val="18"/>
              </w:rPr>
            </w:pPr>
            <w:r w:rsidRPr="000865F3">
              <w:rPr>
                <w:rFonts w:ascii="Arial" w:hAnsi="Arial" w:cs="Arial"/>
                <w:sz w:val="18"/>
                <w:szCs w:val="18"/>
              </w:rPr>
              <w:t xml:space="preserve">(see </w:t>
            </w:r>
            <w:hyperlink r:id="rId15" w:history="1">
              <w:r w:rsidRPr="000865F3">
                <w:rPr>
                  <w:rStyle w:val="Hyperlink"/>
                  <w:rFonts w:ascii="Arial" w:hAnsi="Arial" w:cs="Arial"/>
                  <w:sz w:val="18"/>
                  <w:szCs w:val="18"/>
                </w:rPr>
                <w:t>https://fas.org/sgp/crs/misc/R43634.pdf</w:t>
              </w:r>
            </w:hyperlink>
            <w:r w:rsidRPr="000865F3">
              <w:rPr>
                <w:rFonts w:ascii="Arial" w:hAnsi="Arial" w:cs="Arial"/>
                <w:sz w:val="18"/>
                <w:szCs w:val="18"/>
              </w:rPr>
              <w:t>)</w:t>
            </w:r>
          </w:p>
        </w:tc>
        <w:tc>
          <w:tcPr>
            <w:tcW w:w="1955" w:type="pct"/>
          </w:tcPr>
          <w:p w14:paraId="4337A64A" w14:textId="7EB1E95F" w:rsidR="00A563A5" w:rsidRPr="000865F3" w:rsidRDefault="00A563A5" w:rsidP="00124601">
            <w:pPr>
              <w:pStyle w:val="TableText"/>
              <w:keepNext/>
              <w:keepLines/>
              <w:spacing w:before="60" w:after="60" w:line="240" w:lineRule="auto"/>
              <w:rPr>
                <w:rFonts w:ascii="Arial" w:hAnsi="Arial" w:cs="Arial"/>
                <w:sz w:val="20"/>
              </w:rPr>
            </w:pPr>
            <w:r w:rsidRPr="000865F3">
              <w:rPr>
                <w:rFonts w:ascii="Arial" w:hAnsi="Arial" w:cs="Arial"/>
                <w:sz w:val="20"/>
              </w:rPr>
              <w:t>Most states have asset limits, but some now base eligibility solely on income. Pay attention to whether your state includes or disregards the partial or full value of vehicles against asset limits</w:t>
            </w:r>
            <w:r w:rsidR="008556C4">
              <w:rPr>
                <w:rFonts w:ascii="Arial" w:hAnsi="Arial" w:cs="Arial"/>
                <w:sz w:val="20"/>
              </w:rPr>
              <w:t>.</w:t>
            </w:r>
          </w:p>
        </w:tc>
      </w:tr>
      <w:tr w:rsidR="00EC2FE1" w:rsidRPr="00124601" w14:paraId="65FF08B1" w14:textId="77777777" w:rsidTr="001A2939">
        <w:trPr>
          <w:cantSplit/>
        </w:trPr>
        <w:tc>
          <w:tcPr>
            <w:tcW w:w="827" w:type="pct"/>
          </w:tcPr>
          <w:p w14:paraId="61FE26F1" w14:textId="4B52D289" w:rsidR="00A563A5" w:rsidRPr="00124601" w:rsidRDefault="00A563A5" w:rsidP="00EC2FE1">
            <w:pPr>
              <w:pStyle w:val="TableText"/>
              <w:spacing w:before="60" w:after="60" w:line="240" w:lineRule="auto"/>
              <w:rPr>
                <w:rFonts w:ascii="Arial" w:hAnsi="Arial" w:cs="Arial"/>
                <w:b/>
                <w:sz w:val="21"/>
                <w:szCs w:val="21"/>
              </w:rPr>
            </w:pPr>
            <w:r w:rsidRPr="00124601">
              <w:rPr>
                <w:rFonts w:ascii="Arial" w:hAnsi="Arial" w:cs="Arial"/>
                <w:b/>
                <w:sz w:val="21"/>
                <w:szCs w:val="21"/>
              </w:rPr>
              <w:t>Eligibility conflicts and coordination with other programs</w:t>
            </w:r>
          </w:p>
        </w:tc>
        <w:tc>
          <w:tcPr>
            <w:tcW w:w="2218" w:type="pct"/>
          </w:tcPr>
          <w:p w14:paraId="1CAD0C87" w14:textId="0A52DC3F" w:rsidR="00A563A5" w:rsidRPr="000865F3" w:rsidRDefault="00A563A5" w:rsidP="00F258AA">
            <w:pPr>
              <w:pStyle w:val="TableText"/>
              <w:spacing w:before="60" w:after="60" w:line="240" w:lineRule="auto"/>
              <w:rPr>
                <w:rFonts w:ascii="Arial" w:hAnsi="Arial" w:cs="Arial"/>
                <w:sz w:val="20"/>
              </w:rPr>
            </w:pPr>
            <w:r w:rsidRPr="000865F3">
              <w:rPr>
                <w:rFonts w:ascii="Arial" w:hAnsi="Arial" w:cs="Arial"/>
                <w:sz w:val="20"/>
              </w:rPr>
              <w:t>Families receiving TANF cash assistance are automatically financially eligible for the Supplemental Nut</w:t>
            </w:r>
            <w:r w:rsidR="00E25775" w:rsidRPr="000865F3">
              <w:rPr>
                <w:rFonts w:ascii="Arial" w:hAnsi="Arial" w:cs="Arial"/>
                <w:sz w:val="20"/>
              </w:rPr>
              <w:t>rition Assistance Program (SNAP)</w:t>
            </w:r>
            <w:r w:rsidR="008556C4">
              <w:rPr>
                <w:rFonts w:ascii="Arial" w:hAnsi="Arial" w:cs="Arial"/>
                <w:sz w:val="20"/>
              </w:rPr>
              <w:t>.</w:t>
            </w:r>
          </w:p>
          <w:p w14:paraId="6E28D20D" w14:textId="2B8C35DC" w:rsidR="00E25775" w:rsidRPr="000865F3" w:rsidRDefault="00E25775" w:rsidP="001A2939">
            <w:pPr>
              <w:pStyle w:val="TableText"/>
              <w:spacing w:before="60" w:after="60" w:line="240" w:lineRule="auto"/>
              <w:rPr>
                <w:rFonts w:ascii="Arial" w:hAnsi="Arial" w:cs="Arial"/>
                <w:sz w:val="18"/>
                <w:szCs w:val="18"/>
              </w:rPr>
            </w:pPr>
            <w:r w:rsidRPr="000865F3">
              <w:rPr>
                <w:rFonts w:ascii="Arial" w:hAnsi="Arial" w:cs="Arial"/>
                <w:sz w:val="18"/>
                <w:szCs w:val="18"/>
              </w:rPr>
              <w:t xml:space="preserve">(see </w:t>
            </w:r>
            <w:hyperlink r:id="rId16" w:history="1">
              <w:r w:rsidRPr="000865F3">
                <w:rPr>
                  <w:rStyle w:val="Hyperlink"/>
                  <w:rFonts w:ascii="Arial" w:hAnsi="Arial" w:cs="Arial"/>
                  <w:sz w:val="18"/>
                  <w:szCs w:val="18"/>
                </w:rPr>
                <w:t>https://fas.org/sgp/crs/misc/R43634.pdf</w:t>
              </w:r>
            </w:hyperlink>
            <w:r w:rsidRPr="000865F3">
              <w:rPr>
                <w:rFonts w:ascii="Arial" w:hAnsi="Arial" w:cs="Arial"/>
                <w:sz w:val="18"/>
                <w:szCs w:val="18"/>
              </w:rPr>
              <w:t>)</w:t>
            </w:r>
          </w:p>
        </w:tc>
        <w:tc>
          <w:tcPr>
            <w:tcW w:w="1955" w:type="pct"/>
          </w:tcPr>
          <w:p w14:paraId="2F0F2925" w14:textId="27D824BF" w:rsidR="00A563A5" w:rsidRPr="000865F3" w:rsidRDefault="003816BC" w:rsidP="00F57DFA">
            <w:pPr>
              <w:pStyle w:val="TableText"/>
              <w:spacing w:before="60" w:after="60" w:line="240" w:lineRule="auto"/>
              <w:rPr>
                <w:rFonts w:ascii="Arial" w:hAnsi="Arial" w:cs="Arial"/>
                <w:sz w:val="20"/>
              </w:rPr>
            </w:pPr>
            <w:r w:rsidRPr="000865F3">
              <w:rPr>
                <w:rFonts w:ascii="Arial" w:hAnsi="Arial" w:cs="Arial"/>
                <w:sz w:val="20"/>
              </w:rPr>
              <w:t>A</w:t>
            </w:r>
            <w:r w:rsidR="00A563A5" w:rsidRPr="000865F3">
              <w:rPr>
                <w:rFonts w:ascii="Arial" w:hAnsi="Arial" w:cs="Arial"/>
                <w:sz w:val="20"/>
              </w:rPr>
              <w:t xml:space="preserve"> family’s TANF income </w:t>
            </w:r>
            <w:r w:rsidR="00F57DFA" w:rsidRPr="000865F3">
              <w:rPr>
                <w:rFonts w:ascii="Arial" w:hAnsi="Arial" w:cs="Arial"/>
                <w:sz w:val="20"/>
              </w:rPr>
              <w:t xml:space="preserve">may be </w:t>
            </w:r>
            <w:r w:rsidR="00A563A5" w:rsidRPr="000865F3">
              <w:rPr>
                <w:rFonts w:ascii="Arial" w:hAnsi="Arial" w:cs="Arial"/>
                <w:sz w:val="20"/>
              </w:rPr>
              <w:t>counted in determining total benefits from SNAP</w:t>
            </w:r>
            <w:r w:rsidR="008556C4">
              <w:rPr>
                <w:rFonts w:ascii="Arial" w:hAnsi="Arial" w:cs="Arial"/>
                <w:sz w:val="20"/>
              </w:rPr>
              <w:t>.</w:t>
            </w:r>
          </w:p>
        </w:tc>
      </w:tr>
      <w:tr w:rsidR="00EC2FE1" w:rsidRPr="00124601" w14:paraId="1754F2A9" w14:textId="77777777" w:rsidTr="001A2939">
        <w:trPr>
          <w:cantSplit/>
        </w:trPr>
        <w:tc>
          <w:tcPr>
            <w:tcW w:w="827" w:type="pct"/>
          </w:tcPr>
          <w:p w14:paraId="1D086EE6" w14:textId="35C65CCD" w:rsidR="00A563A5" w:rsidRPr="00124601" w:rsidRDefault="00A563A5" w:rsidP="00EC2FE1">
            <w:pPr>
              <w:pStyle w:val="TableText"/>
              <w:spacing w:before="60" w:after="60" w:line="240" w:lineRule="auto"/>
              <w:rPr>
                <w:rFonts w:ascii="Arial" w:hAnsi="Arial" w:cs="Arial"/>
                <w:b/>
                <w:sz w:val="21"/>
                <w:szCs w:val="21"/>
              </w:rPr>
            </w:pPr>
            <w:r w:rsidRPr="00124601">
              <w:rPr>
                <w:rFonts w:ascii="Arial" w:hAnsi="Arial" w:cs="Arial"/>
                <w:b/>
                <w:sz w:val="21"/>
                <w:szCs w:val="21"/>
              </w:rPr>
              <w:lastRenderedPageBreak/>
              <w:t>Time limits</w:t>
            </w:r>
          </w:p>
        </w:tc>
        <w:tc>
          <w:tcPr>
            <w:tcW w:w="2218" w:type="pct"/>
          </w:tcPr>
          <w:p w14:paraId="58F47801" w14:textId="2A066E48" w:rsidR="00E25775" w:rsidRPr="000865F3" w:rsidRDefault="00A563A5" w:rsidP="00F258AA">
            <w:pPr>
              <w:pStyle w:val="TableText"/>
              <w:spacing w:before="60" w:after="60" w:line="240" w:lineRule="auto"/>
              <w:rPr>
                <w:rFonts w:ascii="Arial" w:hAnsi="Arial" w:cs="Arial"/>
                <w:sz w:val="20"/>
              </w:rPr>
            </w:pPr>
            <w:r w:rsidRPr="000865F3">
              <w:rPr>
                <w:rFonts w:ascii="Arial" w:hAnsi="Arial" w:cs="Arial"/>
                <w:sz w:val="20"/>
              </w:rPr>
              <w:t>The</w:t>
            </w:r>
            <w:r w:rsidR="008114C8" w:rsidRPr="000865F3">
              <w:rPr>
                <w:rFonts w:ascii="Arial" w:hAnsi="Arial" w:cs="Arial"/>
                <w:sz w:val="20"/>
              </w:rPr>
              <w:t xml:space="preserve"> federal time limit is 60 months, but states </w:t>
            </w:r>
            <w:r w:rsidRPr="000865F3">
              <w:rPr>
                <w:rFonts w:ascii="Arial" w:hAnsi="Arial" w:cs="Arial"/>
                <w:sz w:val="20"/>
              </w:rPr>
              <w:t>can exceed 60 mont</w:t>
            </w:r>
            <w:r w:rsidR="00E25775" w:rsidRPr="000865F3">
              <w:rPr>
                <w:rFonts w:ascii="Arial" w:hAnsi="Arial" w:cs="Arial"/>
                <w:sz w:val="20"/>
              </w:rPr>
              <w:t>hs for up to 20% of the caseload</w:t>
            </w:r>
            <w:r w:rsidR="008556C4">
              <w:rPr>
                <w:rFonts w:ascii="Arial" w:hAnsi="Arial" w:cs="Arial"/>
                <w:sz w:val="20"/>
              </w:rPr>
              <w:t>.</w:t>
            </w:r>
          </w:p>
          <w:p w14:paraId="67933961" w14:textId="6FB27054" w:rsidR="00E25775" w:rsidRPr="000865F3" w:rsidRDefault="00E25775" w:rsidP="001A2939">
            <w:pPr>
              <w:pStyle w:val="TableText"/>
              <w:spacing w:before="60" w:after="60" w:line="240" w:lineRule="auto"/>
              <w:rPr>
                <w:rFonts w:ascii="Arial" w:hAnsi="Arial" w:cs="Arial"/>
                <w:color w:val="0563C1"/>
                <w:sz w:val="18"/>
                <w:szCs w:val="18"/>
                <w:u w:val="single"/>
                <w:vertAlign w:val="superscript"/>
              </w:rPr>
            </w:pPr>
            <w:r w:rsidRPr="000865F3">
              <w:rPr>
                <w:rFonts w:ascii="Arial" w:hAnsi="Arial" w:cs="Arial"/>
                <w:sz w:val="18"/>
                <w:szCs w:val="18"/>
              </w:rPr>
              <w:t xml:space="preserve">(see </w:t>
            </w:r>
            <w:hyperlink r:id="rId17" w:history="1">
              <w:r w:rsidRPr="000865F3">
                <w:rPr>
                  <w:rStyle w:val="Hyperlink"/>
                  <w:rFonts w:ascii="Arial" w:hAnsi="Arial" w:cs="Arial"/>
                  <w:sz w:val="18"/>
                  <w:szCs w:val="18"/>
                </w:rPr>
                <w:t>https://www.cbpp.org/research/policy-basics-an-introduction-to-tanf</w:t>
              </w:r>
            </w:hyperlink>
            <w:r w:rsidRPr="000865F3">
              <w:rPr>
                <w:rFonts w:ascii="Arial" w:hAnsi="Arial" w:cs="Arial"/>
                <w:sz w:val="18"/>
                <w:szCs w:val="18"/>
              </w:rPr>
              <w:t>)</w:t>
            </w:r>
          </w:p>
        </w:tc>
        <w:tc>
          <w:tcPr>
            <w:tcW w:w="1955" w:type="pct"/>
          </w:tcPr>
          <w:p w14:paraId="160D378D" w14:textId="43EA6C92" w:rsidR="00A563A5" w:rsidRPr="000865F3" w:rsidRDefault="00A53EA8" w:rsidP="00A53EA8">
            <w:pPr>
              <w:pStyle w:val="TableText"/>
              <w:spacing w:before="60" w:after="60" w:line="240" w:lineRule="auto"/>
              <w:rPr>
                <w:rFonts w:ascii="Arial" w:hAnsi="Arial" w:cs="Arial"/>
                <w:sz w:val="20"/>
              </w:rPr>
            </w:pPr>
            <w:r w:rsidRPr="000865F3">
              <w:rPr>
                <w:rFonts w:ascii="Arial" w:hAnsi="Arial" w:cs="Arial"/>
                <w:sz w:val="20"/>
              </w:rPr>
              <w:t>Time limits vary by state</w:t>
            </w:r>
            <w:r w:rsidR="008556C4">
              <w:rPr>
                <w:rFonts w:ascii="Arial" w:hAnsi="Arial" w:cs="Arial"/>
                <w:sz w:val="20"/>
              </w:rPr>
              <w:t>.</w:t>
            </w:r>
          </w:p>
        </w:tc>
      </w:tr>
      <w:tr w:rsidR="00EC2FE1" w:rsidRPr="00124601" w14:paraId="0640277D" w14:textId="77777777" w:rsidTr="001A2939">
        <w:trPr>
          <w:cantSplit/>
        </w:trPr>
        <w:tc>
          <w:tcPr>
            <w:tcW w:w="827" w:type="pct"/>
            <w:tcBorders>
              <w:bottom w:val="single" w:sz="4" w:space="0" w:color="92CDDC"/>
            </w:tcBorders>
          </w:tcPr>
          <w:p w14:paraId="6E6AC1DD" w14:textId="35AC9A4D" w:rsidR="00A563A5" w:rsidRPr="00124601" w:rsidRDefault="00A563A5" w:rsidP="00EC2FE1">
            <w:pPr>
              <w:pStyle w:val="TableText"/>
              <w:spacing w:before="60" w:after="60" w:line="240" w:lineRule="auto"/>
              <w:rPr>
                <w:rFonts w:ascii="Arial" w:hAnsi="Arial" w:cs="Arial"/>
                <w:b/>
                <w:sz w:val="21"/>
                <w:szCs w:val="21"/>
              </w:rPr>
            </w:pPr>
            <w:r w:rsidRPr="00124601">
              <w:rPr>
                <w:rFonts w:ascii="Arial" w:hAnsi="Arial" w:cs="Arial"/>
                <w:b/>
                <w:sz w:val="21"/>
                <w:szCs w:val="21"/>
              </w:rPr>
              <w:t>Immigration status</w:t>
            </w:r>
          </w:p>
        </w:tc>
        <w:tc>
          <w:tcPr>
            <w:tcW w:w="2218" w:type="pct"/>
            <w:tcBorders>
              <w:bottom w:val="single" w:sz="4" w:space="0" w:color="92CDDC"/>
            </w:tcBorders>
          </w:tcPr>
          <w:p w14:paraId="54B6EA9C" w14:textId="53C19127" w:rsidR="00A563A5" w:rsidRPr="000865F3" w:rsidRDefault="00A563A5" w:rsidP="00F258AA">
            <w:pPr>
              <w:pStyle w:val="TableText"/>
              <w:spacing w:before="60" w:after="60" w:line="240" w:lineRule="auto"/>
              <w:rPr>
                <w:rFonts w:ascii="Arial" w:hAnsi="Arial" w:cs="Arial"/>
                <w:sz w:val="20"/>
              </w:rPr>
            </w:pPr>
            <w:r w:rsidRPr="000865F3">
              <w:rPr>
                <w:rFonts w:ascii="Arial" w:hAnsi="Arial" w:cs="Arial"/>
                <w:sz w:val="20"/>
              </w:rPr>
              <w:t>States cannot use federal TANF dollars to assist legal immigrants unless they have been in the country for longer than 60 months</w:t>
            </w:r>
            <w:r w:rsidR="00A53EA8" w:rsidRPr="000865F3">
              <w:rPr>
                <w:rFonts w:ascii="Arial" w:hAnsi="Arial" w:cs="Arial"/>
                <w:sz w:val="20"/>
              </w:rPr>
              <w:t xml:space="preserve">. TANF cannot be used for undocumented immigrants. </w:t>
            </w:r>
            <w:r w:rsidR="00F57DFA" w:rsidRPr="000865F3">
              <w:rPr>
                <w:rFonts w:ascii="Arial" w:hAnsi="Arial" w:cs="Arial"/>
                <w:sz w:val="20"/>
              </w:rPr>
              <w:t>In addition to cash assistance, this applies to TANF-funded programs like work supports, child care, job training, and transportation</w:t>
            </w:r>
            <w:r w:rsidR="008556C4">
              <w:rPr>
                <w:rFonts w:ascii="Arial" w:hAnsi="Arial" w:cs="Arial"/>
                <w:sz w:val="20"/>
              </w:rPr>
              <w:t>.</w:t>
            </w:r>
          </w:p>
          <w:p w14:paraId="109C29F5" w14:textId="2520A04D" w:rsidR="00E25775" w:rsidRPr="000865F3" w:rsidRDefault="00E25775" w:rsidP="001A2939">
            <w:pPr>
              <w:pStyle w:val="TableText"/>
              <w:spacing w:before="60" w:after="60" w:line="240" w:lineRule="auto"/>
              <w:rPr>
                <w:rFonts w:ascii="Arial" w:hAnsi="Arial" w:cs="Arial"/>
                <w:sz w:val="18"/>
                <w:szCs w:val="18"/>
              </w:rPr>
            </w:pPr>
            <w:r w:rsidRPr="000865F3">
              <w:rPr>
                <w:rFonts w:ascii="Arial" w:hAnsi="Arial" w:cs="Arial"/>
                <w:sz w:val="18"/>
                <w:szCs w:val="18"/>
              </w:rPr>
              <w:t xml:space="preserve">(see </w:t>
            </w:r>
            <w:hyperlink r:id="rId18" w:history="1">
              <w:r w:rsidRPr="000865F3">
                <w:rPr>
                  <w:rStyle w:val="Hyperlink"/>
                  <w:rFonts w:ascii="Arial" w:hAnsi="Arial" w:cs="Arial"/>
                  <w:sz w:val="18"/>
                  <w:szCs w:val="18"/>
                </w:rPr>
                <w:t>https://www.cbpp.org/research/policy-basics-an-introduction-to-tanf</w:t>
              </w:r>
            </w:hyperlink>
            <w:r w:rsidRPr="000865F3">
              <w:rPr>
                <w:rFonts w:ascii="Arial" w:hAnsi="Arial" w:cs="Arial"/>
                <w:sz w:val="18"/>
                <w:szCs w:val="18"/>
              </w:rPr>
              <w:t>)</w:t>
            </w:r>
          </w:p>
        </w:tc>
        <w:tc>
          <w:tcPr>
            <w:tcW w:w="1955" w:type="pct"/>
            <w:tcBorders>
              <w:bottom w:val="single" w:sz="4" w:space="0" w:color="92CDDC"/>
            </w:tcBorders>
          </w:tcPr>
          <w:p w14:paraId="52025A6B" w14:textId="651768EF" w:rsidR="00A563A5" w:rsidRPr="000865F3" w:rsidRDefault="00A563A5" w:rsidP="00EC2FE1">
            <w:pPr>
              <w:pStyle w:val="TableText"/>
              <w:spacing w:before="60" w:after="60" w:line="240" w:lineRule="auto"/>
              <w:rPr>
                <w:rFonts w:ascii="Arial" w:hAnsi="Arial" w:cs="Arial"/>
                <w:sz w:val="20"/>
              </w:rPr>
            </w:pPr>
          </w:p>
        </w:tc>
      </w:tr>
      <w:tr w:rsidR="00EC2FE1" w:rsidRPr="00124601" w14:paraId="2E752354" w14:textId="77777777" w:rsidTr="001A2939">
        <w:trPr>
          <w:cantSplit/>
        </w:trPr>
        <w:tc>
          <w:tcPr>
            <w:tcW w:w="827" w:type="pct"/>
            <w:tcBorders>
              <w:bottom w:val="nil"/>
            </w:tcBorders>
          </w:tcPr>
          <w:p w14:paraId="3E63060F" w14:textId="5EDA8F6B" w:rsidR="00A563A5" w:rsidRPr="00124601" w:rsidRDefault="00A563A5" w:rsidP="00EC2FE1">
            <w:pPr>
              <w:pStyle w:val="TableText"/>
              <w:keepNext/>
              <w:spacing w:before="60" w:after="60" w:line="240" w:lineRule="auto"/>
              <w:rPr>
                <w:rFonts w:ascii="Arial" w:hAnsi="Arial" w:cs="Arial"/>
                <w:b/>
                <w:sz w:val="21"/>
                <w:szCs w:val="21"/>
              </w:rPr>
            </w:pPr>
            <w:r w:rsidRPr="00124601">
              <w:rPr>
                <w:rFonts w:ascii="Arial" w:hAnsi="Arial" w:cs="Arial"/>
                <w:b/>
                <w:sz w:val="21"/>
                <w:szCs w:val="21"/>
              </w:rPr>
              <w:lastRenderedPageBreak/>
              <w:t>Work requirements</w:t>
            </w:r>
          </w:p>
        </w:tc>
        <w:tc>
          <w:tcPr>
            <w:tcW w:w="2218" w:type="pct"/>
            <w:tcBorders>
              <w:bottom w:val="nil"/>
            </w:tcBorders>
          </w:tcPr>
          <w:p w14:paraId="1CBA4E2C" w14:textId="1353E9FE" w:rsidR="00A563A5" w:rsidRPr="000865F3" w:rsidRDefault="00B70919" w:rsidP="00353438">
            <w:pPr>
              <w:pStyle w:val="TableText"/>
              <w:keepNext/>
              <w:spacing w:before="60" w:after="60" w:line="240" w:lineRule="auto"/>
              <w:rPr>
                <w:rFonts w:ascii="Arial" w:hAnsi="Arial" w:cs="Arial"/>
                <w:sz w:val="20"/>
              </w:rPr>
            </w:pPr>
            <w:r w:rsidRPr="000865F3">
              <w:rPr>
                <w:rFonts w:ascii="Arial" w:hAnsi="Arial" w:cs="Arial"/>
                <w:sz w:val="20"/>
              </w:rPr>
              <w:t>A</w:t>
            </w:r>
            <w:r w:rsidR="00D72A59" w:rsidRPr="000865F3">
              <w:rPr>
                <w:rFonts w:ascii="Arial" w:hAnsi="Arial" w:cs="Arial"/>
                <w:sz w:val="20"/>
              </w:rPr>
              <w:t xml:space="preserve"> work-eligible individual</w:t>
            </w:r>
            <w:r w:rsidR="00C25F71" w:rsidRPr="000865F3">
              <w:rPr>
                <w:rFonts w:ascii="Arial" w:hAnsi="Arial" w:cs="Arial"/>
                <w:sz w:val="20"/>
              </w:rPr>
              <w:t xml:space="preserve"> </w:t>
            </w:r>
            <w:r w:rsidRPr="000865F3">
              <w:rPr>
                <w:rFonts w:ascii="Arial" w:hAnsi="Arial" w:cs="Arial"/>
                <w:sz w:val="20"/>
              </w:rPr>
              <w:t xml:space="preserve">must </w:t>
            </w:r>
            <w:r w:rsidR="00A563A5" w:rsidRPr="000865F3">
              <w:rPr>
                <w:rFonts w:ascii="Arial" w:hAnsi="Arial" w:cs="Arial"/>
                <w:sz w:val="20"/>
              </w:rPr>
              <w:t>engage in a work activity for at least 30 hours a week (20 hours a week for single parents with children</w:t>
            </w:r>
            <w:r w:rsidRPr="000865F3">
              <w:rPr>
                <w:rFonts w:ascii="Arial" w:hAnsi="Arial" w:cs="Arial"/>
                <w:sz w:val="20"/>
              </w:rPr>
              <w:t xml:space="preserve"> under 6</w:t>
            </w:r>
            <w:r w:rsidR="00E25775" w:rsidRPr="000865F3">
              <w:rPr>
                <w:rFonts w:ascii="Arial" w:hAnsi="Arial" w:cs="Arial"/>
                <w:sz w:val="20"/>
              </w:rPr>
              <w:t>)</w:t>
            </w:r>
            <w:r w:rsidR="008556C4">
              <w:rPr>
                <w:rFonts w:ascii="Arial" w:hAnsi="Arial" w:cs="Arial"/>
                <w:sz w:val="20"/>
              </w:rPr>
              <w:t>.</w:t>
            </w:r>
          </w:p>
          <w:p w14:paraId="1A58270A" w14:textId="77777777" w:rsidR="003816BC" w:rsidRPr="000865F3" w:rsidRDefault="003816BC" w:rsidP="00353438">
            <w:pPr>
              <w:pStyle w:val="TableText"/>
              <w:keepNext/>
              <w:spacing w:before="60" w:after="60" w:line="240" w:lineRule="auto"/>
              <w:rPr>
                <w:rFonts w:ascii="Arial" w:hAnsi="Arial" w:cs="Arial"/>
                <w:sz w:val="20"/>
              </w:rPr>
            </w:pPr>
          </w:p>
          <w:p w14:paraId="1EA59902" w14:textId="15447DA8" w:rsidR="003816BC" w:rsidRPr="000865F3" w:rsidRDefault="003816BC" w:rsidP="003816BC">
            <w:pPr>
              <w:pStyle w:val="TableText"/>
              <w:spacing w:before="60" w:after="60" w:line="240" w:lineRule="auto"/>
              <w:rPr>
                <w:rFonts w:ascii="Arial" w:hAnsi="Arial" w:cs="Arial"/>
                <w:sz w:val="20"/>
              </w:rPr>
            </w:pPr>
            <w:r w:rsidRPr="000865F3">
              <w:rPr>
                <w:rFonts w:ascii="Arial" w:hAnsi="Arial" w:cs="Arial"/>
                <w:sz w:val="20"/>
              </w:rPr>
              <w:t>Most of the core work activities (see below) can count toward any participation hour</w:t>
            </w:r>
            <w:r w:rsidR="00771735" w:rsidRPr="000865F3">
              <w:rPr>
                <w:rFonts w:ascii="Arial" w:hAnsi="Arial" w:cs="Arial"/>
                <w:sz w:val="20"/>
              </w:rPr>
              <w:t xml:space="preserve"> requirements</w:t>
            </w:r>
            <w:r w:rsidRPr="000865F3">
              <w:rPr>
                <w:rFonts w:ascii="Arial" w:hAnsi="Arial" w:cs="Arial"/>
                <w:sz w:val="20"/>
              </w:rPr>
              <w:t>, but the three non-core categories can count only if the participant also engages in core activities for at least 20 hours a week (3</w:t>
            </w:r>
            <w:r w:rsidR="00E25775" w:rsidRPr="000865F3">
              <w:rPr>
                <w:rFonts w:ascii="Arial" w:hAnsi="Arial" w:cs="Arial"/>
                <w:sz w:val="20"/>
              </w:rPr>
              <w:t>0 hours for two-parent families)</w:t>
            </w:r>
            <w:r w:rsidR="008556C4">
              <w:rPr>
                <w:rFonts w:ascii="Arial" w:hAnsi="Arial" w:cs="Arial"/>
                <w:sz w:val="20"/>
              </w:rPr>
              <w:t>.</w:t>
            </w:r>
          </w:p>
          <w:p w14:paraId="4402A8DB" w14:textId="375FDF7B" w:rsidR="00E25775" w:rsidRPr="001A2939" w:rsidRDefault="00E25775" w:rsidP="000865F3">
            <w:pPr>
              <w:pStyle w:val="TableText"/>
              <w:spacing w:line="240" w:lineRule="auto"/>
              <w:rPr>
                <w:rFonts w:ascii="Arial" w:hAnsi="Arial" w:cs="Arial"/>
                <w:sz w:val="18"/>
                <w:szCs w:val="18"/>
              </w:rPr>
            </w:pPr>
            <w:r w:rsidRPr="001A2939">
              <w:rPr>
                <w:rFonts w:ascii="Arial" w:hAnsi="Arial" w:cs="Arial"/>
                <w:sz w:val="18"/>
                <w:szCs w:val="18"/>
              </w:rPr>
              <w:t xml:space="preserve">(see </w:t>
            </w:r>
            <w:hyperlink r:id="rId19" w:history="1">
              <w:r w:rsidRPr="001A2939">
                <w:rPr>
                  <w:rStyle w:val="Hyperlink"/>
                  <w:rFonts w:ascii="Arial" w:hAnsi="Arial" w:cs="Arial"/>
                  <w:sz w:val="18"/>
                  <w:szCs w:val="18"/>
                </w:rPr>
                <w:t>https://www.cbpp.org/research/policy-basics-an-introduction-to-tanf</w:t>
              </w:r>
            </w:hyperlink>
            <w:r w:rsidRPr="001A2939">
              <w:rPr>
                <w:rFonts w:ascii="Arial" w:hAnsi="Arial" w:cs="Arial"/>
                <w:sz w:val="18"/>
                <w:szCs w:val="18"/>
              </w:rPr>
              <w:t>)</w:t>
            </w:r>
          </w:p>
          <w:p w14:paraId="51EB9594" w14:textId="77777777" w:rsidR="003816BC" w:rsidRPr="000865F3" w:rsidRDefault="003816BC" w:rsidP="003816BC">
            <w:pPr>
              <w:pStyle w:val="TableText"/>
              <w:spacing w:before="60" w:after="60" w:line="240" w:lineRule="auto"/>
              <w:rPr>
                <w:rFonts w:ascii="Arial" w:hAnsi="Arial" w:cs="Arial"/>
                <w:sz w:val="20"/>
              </w:rPr>
            </w:pPr>
          </w:p>
          <w:p w14:paraId="55D61CEA" w14:textId="77777777" w:rsidR="003816BC" w:rsidRPr="000865F3" w:rsidRDefault="003816BC" w:rsidP="003816BC">
            <w:pPr>
              <w:pStyle w:val="TableText"/>
              <w:spacing w:before="60" w:after="60" w:line="240" w:lineRule="auto"/>
              <w:rPr>
                <w:rFonts w:ascii="Arial" w:hAnsi="Arial" w:cs="Arial"/>
                <w:sz w:val="20"/>
              </w:rPr>
            </w:pPr>
            <w:r w:rsidRPr="000865F3">
              <w:rPr>
                <w:rFonts w:ascii="Arial" w:hAnsi="Arial" w:cs="Arial"/>
                <w:sz w:val="20"/>
              </w:rPr>
              <w:t>Core work activities include:</w:t>
            </w:r>
          </w:p>
          <w:p w14:paraId="12202829"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Unsubsidized employment</w:t>
            </w:r>
          </w:p>
          <w:p w14:paraId="76B156A0"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Subsidized private-sector employment</w:t>
            </w:r>
          </w:p>
          <w:p w14:paraId="0C553F00"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Subsidized public-sector employment</w:t>
            </w:r>
          </w:p>
          <w:p w14:paraId="3D5E94AE"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Work experience</w:t>
            </w:r>
          </w:p>
          <w:p w14:paraId="707A9B18"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On-the-job training</w:t>
            </w:r>
          </w:p>
          <w:p w14:paraId="2A9CD74A"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Job search and job readiness assistance</w:t>
            </w:r>
          </w:p>
          <w:p w14:paraId="5DFBF731"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Community service programs</w:t>
            </w:r>
          </w:p>
          <w:p w14:paraId="2646ED51"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Vocational educational training (for up to 12 months)</w:t>
            </w:r>
          </w:p>
          <w:p w14:paraId="0A0B0017" w14:textId="77777777" w:rsidR="003816BC" w:rsidRPr="000865F3" w:rsidRDefault="003816BC" w:rsidP="00AC6828">
            <w:pPr>
              <w:pStyle w:val="TableText"/>
              <w:numPr>
                <w:ilvl w:val="0"/>
                <w:numId w:val="15"/>
              </w:numPr>
              <w:spacing w:before="60" w:after="60" w:line="240" w:lineRule="auto"/>
              <w:rPr>
                <w:rFonts w:ascii="Arial" w:hAnsi="Arial" w:cs="Arial"/>
                <w:sz w:val="20"/>
              </w:rPr>
            </w:pPr>
            <w:r w:rsidRPr="000865F3">
              <w:rPr>
                <w:rFonts w:ascii="Arial" w:hAnsi="Arial" w:cs="Arial"/>
                <w:sz w:val="20"/>
              </w:rPr>
              <w:t>Providing child care services to an individual who is participating in a community service program</w:t>
            </w:r>
          </w:p>
          <w:p w14:paraId="630F26A7" w14:textId="77777777" w:rsidR="003816BC" w:rsidRPr="000865F3" w:rsidRDefault="003816BC" w:rsidP="003816BC">
            <w:pPr>
              <w:pStyle w:val="TableText"/>
              <w:spacing w:before="60" w:after="60" w:line="240" w:lineRule="auto"/>
              <w:rPr>
                <w:rFonts w:ascii="Arial" w:hAnsi="Arial" w:cs="Arial"/>
                <w:sz w:val="20"/>
              </w:rPr>
            </w:pPr>
            <w:r w:rsidRPr="000865F3">
              <w:rPr>
                <w:rFonts w:ascii="Arial" w:hAnsi="Arial" w:cs="Arial"/>
                <w:sz w:val="20"/>
              </w:rPr>
              <w:t>The three non-core activities are:</w:t>
            </w:r>
          </w:p>
          <w:p w14:paraId="574ACCA1" w14:textId="77777777" w:rsidR="003816BC" w:rsidRPr="000865F3" w:rsidRDefault="003816BC" w:rsidP="00AC6828">
            <w:pPr>
              <w:pStyle w:val="TableText"/>
              <w:numPr>
                <w:ilvl w:val="0"/>
                <w:numId w:val="16"/>
              </w:numPr>
              <w:spacing w:before="60" w:after="60" w:line="240" w:lineRule="auto"/>
              <w:rPr>
                <w:rFonts w:ascii="Arial" w:hAnsi="Arial" w:cs="Arial"/>
                <w:sz w:val="20"/>
              </w:rPr>
            </w:pPr>
            <w:r w:rsidRPr="000865F3">
              <w:rPr>
                <w:rFonts w:ascii="Arial" w:hAnsi="Arial" w:cs="Arial"/>
                <w:sz w:val="20"/>
              </w:rPr>
              <w:t>Job skills training directly related to employment</w:t>
            </w:r>
          </w:p>
          <w:p w14:paraId="6B990EE8" w14:textId="77777777" w:rsidR="003816BC" w:rsidRPr="000865F3" w:rsidRDefault="003816BC" w:rsidP="00AC6828">
            <w:pPr>
              <w:pStyle w:val="TableText"/>
              <w:numPr>
                <w:ilvl w:val="0"/>
                <w:numId w:val="16"/>
              </w:numPr>
              <w:spacing w:before="60" w:after="60" w:line="240" w:lineRule="auto"/>
              <w:rPr>
                <w:rFonts w:ascii="Arial" w:hAnsi="Arial" w:cs="Arial"/>
                <w:sz w:val="20"/>
              </w:rPr>
            </w:pPr>
            <w:r w:rsidRPr="000865F3">
              <w:rPr>
                <w:rFonts w:ascii="Arial" w:hAnsi="Arial" w:cs="Arial"/>
                <w:sz w:val="20"/>
              </w:rPr>
              <w:t>Education directly related to employment</w:t>
            </w:r>
          </w:p>
          <w:p w14:paraId="77EC3CB8" w14:textId="69DDD2FD" w:rsidR="003816BC" w:rsidRPr="000865F3" w:rsidRDefault="003816BC" w:rsidP="00AC6828">
            <w:pPr>
              <w:pStyle w:val="TableText"/>
              <w:keepNext/>
              <w:numPr>
                <w:ilvl w:val="0"/>
                <w:numId w:val="16"/>
              </w:numPr>
              <w:spacing w:before="60" w:after="60" w:line="240" w:lineRule="auto"/>
              <w:rPr>
                <w:rFonts w:ascii="Arial" w:hAnsi="Arial" w:cs="Arial"/>
                <w:sz w:val="20"/>
              </w:rPr>
            </w:pPr>
            <w:r w:rsidRPr="000865F3">
              <w:rPr>
                <w:rFonts w:ascii="Arial" w:hAnsi="Arial" w:cs="Arial"/>
                <w:sz w:val="20"/>
              </w:rPr>
              <w:t>Satisfactory attendance at secondary school or in a course of study leading to a GED</w:t>
            </w:r>
          </w:p>
        </w:tc>
        <w:tc>
          <w:tcPr>
            <w:tcW w:w="1955" w:type="pct"/>
            <w:tcBorders>
              <w:bottom w:val="nil"/>
            </w:tcBorders>
          </w:tcPr>
          <w:p w14:paraId="67BCAD5D" w14:textId="7F955B56" w:rsidR="00232B3F" w:rsidRPr="000865F3" w:rsidRDefault="00232B3F" w:rsidP="00236923">
            <w:pPr>
              <w:pStyle w:val="TableText"/>
              <w:keepNext/>
              <w:spacing w:before="60" w:after="60" w:line="240" w:lineRule="auto"/>
              <w:ind w:left="43"/>
              <w:rPr>
                <w:rFonts w:ascii="Arial" w:hAnsi="Arial" w:cs="Arial"/>
                <w:sz w:val="20"/>
              </w:rPr>
            </w:pPr>
            <w:r w:rsidRPr="000865F3">
              <w:rPr>
                <w:rFonts w:ascii="Arial" w:hAnsi="Arial" w:cs="Arial"/>
                <w:sz w:val="20"/>
              </w:rPr>
              <w:t xml:space="preserve">States may implement additional exemptions in </w:t>
            </w:r>
            <w:r w:rsidR="00216383" w:rsidRPr="000865F3">
              <w:rPr>
                <w:rFonts w:ascii="Arial" w:hAnsi="Arial" w:cs="Arial"/>
                <w:sz w:val="20"/>
              </w:rPr>
              <w:t>defining</w:t>
            </w:r>
            <w:r w:rsidRPr="000865F3">
              <w:rPr>
                <w:rFonts w:ascii="Arial" w:hAnsi="Arial" w:cs="Arial"/>
                <w:sz w:val="20"/>
              </w:rPr>
              <w:t xml:space="preserve"> work eligible individuals, including those with documented physi</w:t>
            </w:r>
            <w:r w:rsidR="00F258AA" w:rsidRPr="000865F3">
              <w:rPr>
                <w:rFonts w:ascii="Arial" w:hAnsi="Arial" w:cs="Arial"/>
                <w:sz w:val="20"/>
              </w:rPr>
              <w:t>cal or mental health condition</w:t>
            </w:r>
            <w:r w:rsidR="00FE6148" w:rsidRPr="000865F3">
              <w:rPr>
                <w:rFonts w:ascii="Arial" w:hAnsi="Arial" w:cs="Arial"/>
                <w:sz w:val="20"/>
              </w:rPr>
              <w:t>s</w:t>
            </w:r>
            <w:r w:rsidR="008556C4">
              <w:rPr>
                <w:rFonts w:ascii="Arial" w:hAnsi="Arial" w:cs="Arial"/>
                <w:sz w:val="20"/>
              </w:rPr>
              <w:t>.</w:t>
            </w:r>
          </w:p>
          <w:p w14:paraId="08F5532B" w14:textId="1FDDF31F" w:rsidR="00232B3F" w:rsidRPr="000865F3" w:rsidRDefault="003816BC" w:rsidP="00236923">
            <w:pPr>
              <w:pStyle w:val="TableText"/>
              <w:keepNext/>
              <w:spacing w:before="60" w:after="60" w:line="240" w:lineRule="auto"/>
              <w:ind w:left="43"/>
              <w:rPr>
                <w:rFonts w:ascii="Arial" w:hAnsi="Arial" w:cs="Arial"/>
                <w:sz w:val="20"/>
              </w:rPr>
            </w:pPr>
            <w:r w:rsidRPr="000865F3">
              <w:rPr>
                <w:rFonts w:ascii="Arial" w:hAnsi="Arial" w:cs="Arial"/>
                <w:sz w:val="20"/>
              </w:rPr>
              <w:t>States may offer additional work activities</w:t>
            </w:r>
            <w:r w:rsidR="008556C4">
              <w:rPr>
                <w:rFonts w:ascii="Arial" w:hAnsi="Arial" w:cs="Arial"/>
                <w:sz w:val="20"/>
              </w:rPr>
              <w:t>.</w:t>
            </w:r>
          </w:p>
          <w:p w14:paraId="7916A638" w14:textId="77777777" w:rsidR="00FE6148" w:rsidRPr="000865F3" w:rsidRDefault="00FE6148" w:rsidP="00236923">
            <w:pPr>
              <w:pStyle w:val="TableText"/>
              <w:keepNext/>
              <w:spacing w:before="60" w:after="60" w:line="240" w:lineRule="auto"/>
              <w:ind w:left="43"/>
              <w:rPr>
                <w:rFonts w:ascii="Arial" w:hAnsi="Arial" w:cs="Arial"/>
                <w:sz w:val="20"/>
              </w:rPr>
            </w:pPr>
          </w:p>
          <w:p w14:paraId="74F3A941" w14:textId="06382459" w:rsidR="00FE6148" w:rsidRPr="001A2939" w:rsidRDefault="00FE6148" w:rsidP="00C9315C">
            <w:pPr>
              <w:pStyle w:val="TableText"/>
              <w:keepNext/>
              <w:spacing w:line="240" w:lineRule="auto"/>
              <w:ind w:left="43"/>
              <w:rPr>
                <w:rStyle w:val="Hyperlink"/>
                <w:rFonts w:ascii="Arial" w:hAnsi="Arial" w:cs="Arial"/>
                <w:sz w:val="18"/>
                <w:szCs w:val="18"/>
              </w:rPr>
            </w:pPr>
            <w:r w:rsidRPr="001A2939">
              <w:rPr>
                <w:rFonts w:ascii="Arial" w:hAnsi="Arial" w:cs="Arial"/>
                <w:sz w:val="18"/>
                <w:szCs w:val="18"/>
              </w:rPr>
              <w:t xml:space="preserve">(see </w:t>
            </w:r>
            <w:r w:rsidRPr="001A2939">
              <w:rPr>
                <w:rFonts w:ascii="Arial" w:hAnsi="Arial" w:cs="Arial"/>
                <w:sz w:val="18"/>
                <w:szCs w:val="18"/>
              </w:rPr>
              <w:fldChar w:fldCharType="begin"/>
            </w:r>
            <w:r w:rsidRPr="001A2939">
              <w:rPr>
                <w:rFonts w:ascii="Arial" w:hAnsi="Arial" w:cs="Arial"/>
                <w:sz w:val="18"/>
                <w:szCs w:val="18"/>
              </w:rPr>
              <w:instrText xml:space="preserve"> HYPERLINK "https://www.acf.hhs.gov/sites/default/files/opre/engagement_and_zero_hours_report_12_19_14.pdf" </w:instrText>
            </w:r>
            <w:r w:rsidRPr="001A2939">
              <w:rPr>
                <w:rFonts w:ascii="Arial" w:hAnsi="Arial" w:cs="Arial"/>
                <w:sz w:val="18"/>
                <w:szCs w:val="18"/>
              </w:rPr>
              <w:fldChar w:fldCharType="separate"/>
            </w:r>
            <w:r w:rsidRPr="001A2939">
              <w:rPr>
                <w:rStyle w:val="Hyperlink"/>
                <w:rFonts w:ascii="Arial" w:hAnsi="Arial" w:cs="Arial"/>
                <w:sz w:val="18"/>
                <w:szCs w:val="18"/>
              </w:rPr>
              <w:t>www.acf.hhs.gov/sites/default/files/</w:t>
            </w:r>
          </w:p>
          <w:p w14:paraId="468445CE" w14:textId="0C77F0A5" w:rsidR="00232B3F" w:rsidRPr="001A2939" w:rsidRDefault="00FE6148" w:rsidP="00C9315C">
            <w:pPr>
              <w:pStyle w:val="TableText"/>
              <w:keepNext/>
              <w:spacing w:line="240" w:lineRule="auto"/>
              <w:ind w:left="43"/>
              <w:rPr>
                <w:rStyle w:val="Hyperlink"/>
                <w:rFonts w:ascii="Arial" w:hAnsi="Arial" w:cs="Arial"/>
                <w:sz w:val="18"/>
                <w:szCs w:val="18"/>
              </w:rPr>
            </w:pPr>
            <w:r w:rsidRPr="001A2939">
              <w:rPr>
                <w:rStyle w:val="Hyperlink"/>
                <w:rFonts w:ascii="Arial" w:hAnsi="Arial" w:cs="Arial"/>
                <w:sz w:val="18"/>
                <w:szCs w:val="18"/>
              </w:rPr>
              <w:t>opre/engagement_and_zero_hours_</w:t>
            </w:r>
          </w:p>
          <w:p w14:paraId="3CE265CA" w14:textId="740D3125" w:rsidR="00A563A5" w:rsidRPr="000865F3" w:rsidRDefault="00FE6148" w:rsidP="00C9315C">
            <w:pPr>
              <w:pStyle w:val="TableText"/>
              <w:keepNext/>
              <w:spacing w:line="240" w:lineRule="auto"/>
              <w:ind w:left="43"/>
              <w:rPr>
                <w:rFonts w:ascii="Arial" w:hAnsi="Arial" w:cs="Arial"/>
                <w:sz w:val="20"/>
              </w:rPr>
            </w:pPr>
            <w:r w:rsidRPr="001A2939">
              <w:rPr>
                <w:rStyle w:val="Hyperlink"/>
                <w:rFonts w:ascii="Arial" w:hAnsi="Arial" w:cs="Arial"/>
                <w:sz w:val="18"/>
                <w:szCs w:val="18"/>
              </w:rPr>
              <w:t>report_12_19_14.pdf</w:t>
            </w:r>
            <w:r w:rsidRPr="001A2939">
              <w:rPr>
                <w:rFonts w:ascii="Arial" w:hAnsi="Arial" w:cs="Arial"/>
                <w:sz w:val="18"/>
                <w:szCs w:val="18"/>
              </w:rPr>
              <w:fldChar w:fldCharType="end"/>
            </w:r>
            <w:r w:rsidRPr="001A2939">
              <w:rPr>
                <w:rFonts w:ascii="Arial" w:hAnsi="Arial" w:cs="Arial"/>
                <w:sz w:val="18"/>
                <w:szCs w:val="18"/>
              </w:rPr>
              <w:t>)</w:t>
            </w:r>
            <w:r w:rsidRPr="000865F3">
              <w:rPr>
                <w:rFonts w:ascii="Arial" w:hAnsi="Arial" w:cs="Arial"/>
                <w:sz w:val="20"/>
              </w:rPr>
              <w:t xml:space="preserve"> </w:t>
            </w:r>
          </w:p>
        </w:tc>
      </w:tr>
    </w:tbl>
    <w:p w14:paraId="2CBDD048" w14:textId="64C51B26" w:rsidR="00260ED1" w:rsidRPr="00FE6148" w:rsidRDefault="00260ED1" w:rsidP="00FE6148">
      <w:pPr>
        <w:tabs>
          <w:tab w:val="left" w:pos="3385"/>
        </w:tabs>
      </w:pPr>
    </w:p>
    <w:sectPr w:rsidR="00260ED1" w:rsidRPr="00FE6148" w:rsidSect="009B58F5">
      <w:headerReference w:type="default" r:id="rId20"/>
      <w:footerReference w:type="default" r:id="rId21"/>
      <w:pgSz w:w="12240" w:h="15840"/>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9"/>
    </wne:keymap>
    <wne:keymap wne:kcmPrimary="0431">
      <wne:acd wne:acdName="acd28"/>
    </wne:keymap>
    <wne:keymap wne:kcmPrimary="0432">
      <wne:acd wne:acdName="acd29"/>
    </wne:keymap>
    <wne:keymap wne:kcmPrimary="0433">
      <wne:acd wne:acdName="acd30"/>
    </wne:keymap>
    <wne:keymap wne:kcmPrimary="0434">
      <wne:acd wne:acdName="acd33"/>
    </wne:keymap>
    <wne:keymap wne:kcmPrimary="0435">
      <wne:acd wne:acdName="acd32"/>
    </wne:keymap>
    <wne:keymap wne:kcmPrimary="0444">
      <wne:acd wne:acdName="acd24"/>
    </wne:keymap>
    <wne:keymap wne:kcmPrimary="044E">
      <wne:acd wne:acdName="acd0"/>
    </wne:keymap>
    <wne:keymap wne:kcmPrimary="0452">
      <wne:acd wne:acdName="acd10"/>
    </wne:keymap>
    <wne:keymap wne:kcmPrimary="0453">
      <wne:acd wne:acdName="acd20"/>
    </wne:keymap>
    <wne:keymap wne:kcmPrimary="0642">
      <wne:acd wne:acdName="acd22"/>
    </wne:keymap>
    <wne:keymap wne:kcmPrimary="0644">
      <wne:acd wne:acdName="acd26"/>
    </wne:keymap>
    <wne:keymap wne:kcmPrimary="064E">
      <wne:acd wne:acdName="acd21"/>
    </wne:keymap>
    <wne:keymap wne:kcmPrimary="06BE">
      <wne:acd wne:acdName="acd27"/>
    </wne:keymap>
    <wne:keymap wne:kcmPrimary="06BF">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QAAAAAA" wne:acdName="acd0" wne:fciIndexBasedOn="0065"/>
    <wne:acd wne:argValue="AgBIADQAXwBBAGwAcABoAGEA" wne:acdName="acd1" wne:fciIndexBasedOn="0065"/>
    <wne:acd wne:argValue="AgBIADQAXwBBAGwAcABoAGEA" wne:acdName="acd2" wne:fciIndexBasedOn="0065"/>
    <wne:acd wne:argValue="AgBIADQAXwBBAGwAcABoAGEA" wne:acdName="acd3" wne:fciIndexBasedOn="0065"/>
    <wne:acd wne:argValue="AgBIADQAXwBBAGwAcABoAGEA" wne:acdName="acd4" wne:fciIndexBasedOn="0065"/>
    <wne:acd wne:argValue="AgBIADQAXwBBAGwAcABoAGEA" wne:acdName="acd5" wne:fciIndexBasedOn="0065"/>
    <wne:acd wne:argValue="AgBIADQAXwBBAGwAcABoAGEA" wne:acdName="acd6" wne:fciIndexBasedOn="0065"/>
    <wne:acd wne:argValue="AgBIADQAXwBBAGwAcABoAGEA" wne:acdName="acd7" wne:fciIndexBasedOn="0065"/>
    <wne:acd wne:argValue="AgBIADQAXwBBAGwAcABoAGEA" wne:acdName="acd8" wne:fciIndexBasedOn="0065"/>
    <wne:acd wne:argValue="AgBPAHUAdABsAGkAbgBlAA==" wne:acdName="acd9" wne:fciIndexBasedOn="0065"/>
    <wne:acd wne:argValue="AgBSAGUAZgBlAHIAZQBuAGMAZQBzAA==" wne:acdName="acd10" wne:fciIndexBasedOn="0065"/>
    <wne:acd wne:argValue="AgBIADQAXwBBAGwAcABoAGEA" wne:acdName="acd11" wne:fciIndexBasedOn="0065"/>
    <wne:acd wne:argValue="AgBIADQAXwBBAGwAcABoAGEA" wne:acdName="acd12" wne:fciIndexBasedOn="0065"/>
    <wne:acd wne:argValue="AgBIADQAXwBBAGwAcABoAGEA" wne:acdName="acd13" wne:fciIndexBasedOn="0065"/>
    <wne:acd wne:argValue="AgBIADQAXwBBAGwAcABoAGEA" wne:acdName="acd14" wne:fciIndexBasedOn="0065"/>
    <wne:acd wne:argValue="AgBIADQAXwBBAGwAcABoAGEA" wne:acdName="acd15" wne:fciIndexBasedOn="0065"/>
    <wne:acd wne:argValue="AgBIADQAXwBBAGwAcABoAGEA" wne:acdName="acd16" wne:fciIndexBasedOn="0065"/>
    <wne:acd wne:argValue="AgBIADQAXwBBAGwAcABoAGEA" wne:acdName="acd17" wne:fciIndexBasedOn="0065"/>
    <wne:acd wne:argValue="AgBIADQAXwBBAGwAcABoAGEA" wne:acdName="acd18" wne:fciIndexBasedOn="0065"/>
    <wne:acd wne:argValue="AgBIADQAXwBBAGwAcABoAGEA" wne:acdName="acd19" wne:fciIndexBasedOn="0065"/>
    <wne:acd wne:argValue="AgBOAG8AcgBtAGEAbABTAFMA" wne:acdName="acd20" wne:fciIndexBasedOn="0065"/>
    <wne:acd wne:argValue="AgBOAHUAbQBiAGUAcgBlAGQAIABCAHUAbABsAGUAdAA=" wne:acdName="acd21" wne:fciIndexBasedOn="0065"/>
    <wne:acd wne:argValue="AgBCAHUAbABsAGUAdAA=" wne:acdName="acd22" wne:fciIndexBasedOn="0065"/>
    <wne:acd wne:argValue="AgBCAHUAbABsAGUAdAAgACgATABhAHMAdAAgAFMAUwApAA==" wne:acdName="acd23" wne:fciIndexBasedOn="0065"/>
    <wne:acd wne:argValue="AgBEAGEAcwBoAA==" wne:acdName="acd24" wne:fciIndexBasedOn="0065"/>
    <wne:acd wne:argValue="AgBIADQAXwBBAGwAcABoAGEA" wne:acdName="acd25" wne:fciIndexBasedOn="0065"/>
    <wne:acd wne:argValue="AgBEAGEAcwBoACAAKABMAEEAUwBUACAAUwBTACkA" wne:acdName="acd26" wne:fciIndexBasedOn="0065"/>
    <wne:acd wne:argValue="AgBOAHUAbQBiAGUAcgBlAGQAIABCAHUAbABsAGUAdAAgACgATABhAHMAdAAgAFMAUwApAA==" wne:acdName="acd27" wne:fciIndexBasedOn="0065"/>
    <wne:acd wne:argValue="AgBIADEAXwBUAGkAdABsAGUA" wne:acdName="acd28" wne:fciIndexBasedOn="0065"/>
    <wne:acd wne:argValue="AgBIADIAXwBDAGgAYQBwAHQAZQByAA==" wne:acdName="acd29" wne:fciIndexBasedOn="0065"/>
    <wne:acd wne:argValue="AgBIADMAXwBBAGwAcABoAGEA" wne:acdName="acd30" wne:fciIndexBasedOn="0065"/>
    <wne:acd wne:argValue="AgBIADQAXwBBAGwAcABoAGEA" wne:acdName="acd31" wne:fciIndexBasedOn="0065"/>
    <wne:acd wne:argValue="AgBIADUAXwBMAG8AdwBlAHIA" wne:acdName="acd32" wne:fciIndexBasedOn="0065"/>
    <wne:acd wne:argValue="AgBIADQAXwBBAGwAcABoAGE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8DDE" w14:textId="77777777" w:rsidR="00DE58F4" w:rsidRDefault="00DE58F4" w:rsidP="002E3E35">
      <w:r>
        <w:separator/>
      </w:r>
    </w:p>
  </w:endnote>
  <w:endnote w:type="continuationSeparator" w:id="0">
    <w:p w14:paraId="3248271B" w14:textId="77777777" w:rsidR="00DE58F4" w:rsidRDefault="00DE58F4"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8" w14:textId="77777777" w:rsidR="009E66B9" w:rsidRPr="00124601" w:rsidRDefault="009E66B9" w:rsidP="00142A9B">
    <w:pPr>
      <w:pStyle w:val="Footer"/>
      <w:pBdr>
        <w:bottom w:val="single" w:sz="4" w:space="1" w:color="92CDDC"/>
      </w:pBdr>
      <w:rPr>
        <w:rFonts w:ascii="Arial" w:hAnsi="Arial" w:cs="Arial"/>
        <w:sz w:val="14"/>
      </w:rPr>
    </w:pPr>
    <w:r w:rsidRPr="00124601">
      <w:rPr>
        <w:rFonts w:ascii="Arial" w:hAnsi="Arial" w:cs="Arial"/>
        <w:sz w:val="14"/>
      </w:rPr>
      <w:t>This contract has been funded, either wholly or in part, by the Department of Labor, Employment &amp; Training Administration under contract Number GS-10F-0050L/1630DC-17-F-00002. The contents of this publication do not necessarily reflect the views or policies of the Department of Labor, nor does mention of trade names, commercial products, or organizations imply endorsement of the same by the U.S. Government.</w:t>
    </w:r>
  </w:p>
  <w:p w14:paraId="6AEA29DC" w14:textId="293C1CC0" w:rsidR="00142A9B" w:rsidRPr="003B4D75" w:rsidRDefault="00142A9B" w:rsidP="00142A9B">
    <w:pPr>
      <w:pStyle w:val="Footer"/>
      <w:pBdr>
        <w:top w:val="none" w:sz="0" w:space="0" w:color="auto"/>
        <w:bottom w:val="none" w:sz="0" w:space="0" w:color="auto"/>
      </w:pBdr>
      <w:jc w:val="right"/>
    </w:pPr>
    <w:r>
      <w:fldChar w:fldCharType="begin"/>
    </w:r>
    <w:r>
      <w:instrText xml:space="preserve"> PAGE   \* MERGEFORMAT </w:instrText>
    </w:r>
    <w:r>
      <w:fldChar w:fldCharType="separate"/>
    </w:r>
    <w:r w:rsidR="00D73318" w:rsidRPr="00D73318">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5A3B" w14:textId="77777777" w:rsidR="00DE58F4" w:rsidRPr="00124601" w:rsidRDefault="00DE58F4" w:rsidP="00124601">
      <w:pPr>
        <w:ind w:firstLine="0"/>
        <w:rPr>
          <w:rFonts w:ascii="Arial" w:hAnsi="Arial" w:cs="Arial"/>
        </w:rPr>
      </w:pPr>
      <w:r w:rsidRPr="00124601">
        <w:rPr>
          <w:rFonts w:ascii="Arial" w:hAnsi="Arial" w:cs="Arial"/>
        </w:rPr>
        <w:separator/>
      </w:r>
    </w:p>
  </w:footnote>
  <w:footnote w:type="continuationSeparator" w:id="0">
    <w:p w14:paraId="16AFBD4F" w14:textId="77777777" w:rsidR="00DE58F4" w:rsidRPr="003B4D75" w:rsidRDefault="00DE58F4" w:rsidP="003B4D75">
      <w:r>
        <w:separator/>
      </w:r>
    </w:p>
    <w:p w14:paraId="6EFE4D8C" w14:textId="77777777" w:rsidR="00DE58F4" w:rsidRPr="003B4D75" w:rsidRDefault="00DE58F4" w:rsidP="003B4D75">
      <w:r w:rsidRPr="003B4D75">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7" w14:textId="77777777" w:rsidR="009E66B9" w:rsidRPr="003B4D75" w:rsidRDefault="00D95D18" w:rsidP="00633E9F">
    <w:pPr>
      <w:ind w:firstLine="0"/>
    </w:pPr>
    <w:r w:rsidRPr="00620002">
      <w:rPr>
        <w:noProof/>
      </w:rPr>
      <w:drawing>
        <wp:anchor distT="0" distB="0" distL="114300" distR="114300" simplePos="0" relativeHeight="251658240" behindDoc="1" locked="0" layoutInCell="1" allowOverlap="1" wp14:anchorId="666236F9" wp14:editId="666236FA">
          <wp:simplePos x="0" y="0"/>
          <wp:positionH relativeFrom="leftMargin">
            <wp:posOffset>715645</wp:posOffset>
          </wp:positionH>
          <wp:positionV relativeFrom="page">
            <wp:posOffset>228600</wp:posOffset>
          </wp:positionV>
          <wp:extent cx="6400800" cy="11247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WA logos-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54406C1C"/>
    <w:lvl w:ilvl="0" w:tplc="ECB0AD34">
      <w:start w:val="1"/>
      <w:numFmt w:val="bullet"/>
      <w:pStyle w:val="Dash"/>
      <w:lvlText w:val="-"/>
      <w:lvlJc w:val="left"/>
      <w:pPr>
        <w:ind w:left="792" w:hanging="360"/>
      </w:pPr>
      <w:rPr>
        <w:rFonts w:ascii="Tahoma" w:hAnsi="Tahoma" w:hint="default"/>
        <w:color w:val="1888B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519F8"/>
    <w:multiLevelType w:val="hybridMultilevel"/>
    <w:tmpl w:val="0F3A7F9E"/>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 w15:restartNumberingAfterBreak="0">
    <w:nsid w:val="29A30CDF"/>
    <w:multiLevelType w:val="hybridMultilevel"/>
    <w:tmpl w:val="F7EEF5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4D056B9"/>
    <w:multiLevelType w:val="hybridMultilevel"/>
    <w:tmpl w:val="85B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32E9"/>
    <w:multiLevelType w:val="hybridMultilevel"/>
    <w:tmpl w:val="9C54E32A"/>
    <w:lvl w:ilvl="0" w:tplc="6202683E">
      <w:start w:val="1"/>
      <w:numFmt w:val="bullet"/>
      <w:pStyle w:val="IntenseQuoteAttributio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C077ED7"/>
    <w:multiLevelType w:val="hybridMultilevel"/>
    <w:tmpl w:val="C014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E0F3D"/>
    <w:multiLevelType w:val="multilevel"/>
    <w:tmpl w:val="63B470E8"/>
    <w:styleLink w:val="RedBullet"/>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A832B8"/>
    <w:multiLevelType w:val="hybridMultilevel"/>
    <w:tmpl w:val="D04A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6FFE31F0"/>
    <w:multiLevelType w:val="hybridMultilevel"/>
    <w:tmpl w:val="594E5BAC"/>
    <w:lvl w:ilvl="0" w:tplc="555876C8">
      <w:start w:val="1"/>
      <w:numFmt w:val="bullet"/>
      <w:pStyle w:val="Tablebullet"/>
      <w:lvlText w:val=""/>
      <w:lvlJc w:val="left"/>
      <w:pPr>
        <w:ind w:left="360" w:hanging="360"/>
      </w:pPr>
      <w:rPr>
        <w:rFonts w:ascii="Symbol" w:hAnsi="Symbol" w:hint="default"/>
        <w:color w:val="37609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20478C"/>
    <w:multiLevelType w:val="multilevel"/>
    <w:tmpl w:val="500A0996"/>
    <w:lvl w:ilvl="0">
      <w:start w:val="1"/>
      <w:numFmt w:val="bullet"/>
      <w:pStyle w:val="Bullet"/>
      <w:lvlText w:val=""/>
      <w:lvlJc w:val="left"/>
      <w:pPr>
        <w:ind w:left="792" w:hanging="360"/>
      </w:pPr>
      <w:rPr>
        <w:rFonts w:ascii="Symbol" w:hAnsi="Symbol" w:hint="default"/>
        <w:color w:val="C00000"/>
      </w:rPr>
    </w:lvl>
    <w:lvl w:ilvl="1">
      <w:start w:val="1"/>
      <w:numFmt w:val="bullet"/>
      <w:lvlText w:val=""/>
      <w:lvlJc w:val="left"/>
      <w:pPr>
        <w:ind w:left="1512" w:hanging="360"/>
      </w:pPr>
      <w:rPr>
        <w:rFonts w:ascii="Symbol" w:hAnsi="Symbol" w:hint="default"/>
        <w:color w:val="1888BA"/>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36CA3"/>
    <w:multiLevelType w:val="hybridMultilevel"/>
    <w:tmpl w:val="D8D27B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0"/>
  </w:num>
  <w:num w:numId="5">
    <w:abstractNumId w:val="14"/>
  </w:num>
  <w:num w:numId="6">
    <w:abstractNumId w:val="11"/>
  </w:num>
  <w:num w:numId="7">
    <w:abstractNumId w:val="6"/>
  </w:num>
  <w:num w:numId="8">
    <w:abstractNumId w:val="3"/>
  </w:num>
  <w:num w:numId="9">
    <w:abstractNumId w:val="12"/>
  </w:num>
  <w:num w:numId="10">
    <w:abstractNumId w:val="9"/>
  </w:num>
  <w:num w:numId="11">
    <w:abstractNumId w:val="5"/>
  </w:num>
  <w:num w:numId="12">
    <w:abstractNumId w:val="2"/>
  </w:num>
  <w:num w:numId="13">
    <w:abstractNumId w:val="1"/>
  </w:num>
  <w:num w:numId="14">
    <w:abstractNumId w:val="4"/>
  </w:num>
  <w:num w:numId="15">
    <w:abstractNumId w:val="7"/>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35"/>
    <w:rsid w:val="000030B1"/>
    <w:rsid w:val="00006509"/>
    <w:rsid w:val="00010CEE"/>
    <w:rsid w:val="0001587F"/>
    <w:rsid w:val="00016D34"/>
    <w:rsid w:val="000212FC"/>
    <w:rsid w:val="00022A0A"/>
    <w:rsid w:val="000230B6"/>
    <w:rsid w:val="0002322B"/>
    <w:rsid w:val="0002754E"/>
    <w:rsid w:val="0003096E"/>
    <w:rsid w:val="0003265D"/>
    <w:rsid w:val="00032E4E"/>
    <w:rsid w:val="000342AD"/>
    <w:rsid w:val="00034667"/>
    <w:rsid w:val="00036E7F"/>
    <w:rsid w:val="00040B2C"/>
    <w:rsid w:val="00041025"/>
    <w:rsid w:val="000423BE"/>
    <w:rsid w:val="00042419"/>
    <w:rsid w:val="00042DEC"/>
    <w:rsid w:val="00042FA8"/>
    <w:rsid w:val="00043329"/>
    <w:rsid w:val="00043B27"/>
    <w:rsid w:val="00044069"/>
    <w:rsid w:val="00047BDD"/>
    <w:rsid w:val="00051064"/>
    <w:rsid w:val="00056BC1"/>
    <w:rsid w:val="000575D5"/>
    <w:rsid w:val="000578BB"/>
    <w:rsid w:val="00060579"/>
    <w:rsid w:val="000633AA"/>
    <w:rsid w:val="0007041A"/>
    <w:rsid w:val="000736DD"/>
    <w:rsid w:val="000777DB"/>
    <w:rsid w:val="000855BD"/>
    <w:rsid w:val="00086066"/>
    <w:rsid w:val="000865F3"/>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5AE"/>
    <w:rsid w:val="000E0694"/>
    <w:rsid w:val="000E1C2B"/>
    <w:rsid w:val="000E2169"/>
    <w:rsid w:val="000E4C3F"/>
    <w:rsid w:val="000F0344"/>
    <w:rsid w:val="000F28DF"/>
    <w:rsid w:val="000F6328"/>
    <w:rsid w:val="000F677B"/>
    <w:rsid w:val="001004A7"/>
    <w:rsid w:val="001119F8"/>
    <w:rsid w:val="00112A5E"/>
    <w:rsid w:val="00113CC8"/>
    <w:rsid w:val="001148F3"/>
    <w:rsid w:val="00122C2C"/>
    <w:rsid w:val="00124601"/>
    <w:rsid w:val="00126C6D"/>
    <w:rsid w:val="00127C77"/>
    <w:rsid w:val="00130C03"/>
    <w:rsid w:val="001311F7"/>
    <w:rsid w:val="0013184F"/>
    <w:rsid w:val="00131D22"/>
    <w:rsid w:val="00131F00"/>
    <w:rsid w:val="0013346F"/>
    <w:rsid w:val="00135EB7"/>
    <w:rsid w:val="0013709C"/>
    <w:rsid w:val="00142A9B"/>
    <w:rsid w:val="00146CE3"/>
    <w:rsid w:val="00147515"/>
    <w:rsid w:val="00147A74"/>
    <w:rsid w:val="00147EE3"/>
    <w:rsid w:val="00154DF1"/>
    <w:rsid w:val="00155D06"/>
    <w:rsid w:val="00157CA2"/>
    <w:rsid w:val="001649D5"/>
    <w:rsid w:val="00164BC2"/>
    <w:rsid w:val="0017287E"/>
    <w:rsid w:val="001739F1"/>
    <w:rsid w:val="00174EB0"/>
    <w:rsid w:val="00181AC8"/>
    <w:rsid w:val="00182E19"/>
    <w:rsid w:val="00183CD1"/>
    <w:rsid w:val="00184421"/>
    <w:rsid w:val="00185CEF"/>
    <w:rsid w:val="00185EFB"/>
    <w:rsid w:val="00187DC1"/>
    <w:rsid w:val="001921A4"/>
    <w:rsid w:val="00194A0E"/>
    <w:rsid w:val="001969F1"/>
    <w:rsid w:val="00196E5A"/>
    <w:rsid w:val="00197503"/>
    <w:rsid w:val="001A2939"/>
    <w:rsid w:val="001A3781"/>
    <w:rsid w:val="001A51E6"/>
    <w:rsid w:val="001A73CD"/>
    <w:rsid w:val="001B107D"/>
    <w:rsid w:val="001B40B7"/>
    <w:rsid w:val="001B4842"/>
    <w:rsid w:val="001C5EB8"/>
    <w:rsid w:val="001C7FBE"/>
    <w:rsid w:val="001D312B"/>
    <w:rsid w:val="001D3544"/>
    <w:rsid w:val="001D39AA"/>
    <w:rsid w:val="001D39EC"/>
    <w:rsid w:val="001D418D"/>
    <w:rsid w:val="001D661F"/>
    <w:rsid w:val="001D7B65"/>
    <w:rsid w:val="001E1FA5"/>
    <w:rsid w:val="001E6A60"/>
    <w:rsid w:val="001E6E5A"/>
    <w:rsid w:val="00201E7E"/>
    <w:rsid w:val="00203E3B"/>
    <w:rsid w:val="00204AB9"/>
    <w:rsid w:val="00204B23"/>
    <w:rsid w:val="002050B7"/>
    <w:rsid w:val="00211CBE"/>
    <w:rsid w:val="00214E0B"/>
    <w:rsid w:val="00215C5A"/>
    <w:rsid w:val="00215E4D"/>
    <w:rsid w:val="00216383"/>
    <w:rsid w:val="002166BC"/>
    <w:rsid w:val="00217FA0"/>
    <w:rsid w:val="00220D01"/>
    <w:rsid w:val="00225954"/>
    <w:rsid w:val="0022714B"/>
    <w:rsid w:val="002272CB"/>
    <w:rsid w:val="00231607"/>
    <w:rsid w:val="00232B3F"/>
    <w:rsid w:val="0023638D"/>
    <w:rsid w:val="00236923"/>
    <w:rsid w:val="00247945"/>
    <w:rsid w:val="00254C89"/>
    <w:rsid w:val="00254E2D"/>
    <w:rsid w:val="00256D04"/>
    <w:rsid w:val="0026025C"/>
    <w:rsid w:val="00260ED1"/>
    <w:rsid w:val="00264A40"/>
    <w:rsid w:val="0026713B"/>
    <w:rsid w:val="00271C83"/>
    <w:rsid w:val="0027245E"/>
    <w:rsid w:val="00272B66"/>
    <w:rsid w:val="002733A4"/>
    <w:rsid w:val="002817A6"/>
    <w:rsid w:val="00283304"/>
    <w:rsid w:val="0028360E"/>
    <w:rsid w:val="00283D7D"/>
    <w:rsid w:val="00284CF0"/>
    <w:rsid w:val="002869EF"/>
    <w:rsid w:val="0029011D"/>
    <w:rsid w:val="0029042C"/>
    <w:rsid w:val="00290FD7"/>
    <w:rsid w:val="00292A7F"/>
    <w:rsid w:val="00294B21"/>
    <w:rsid w:val="00295EB3"/>
    <w:rsid w:val="00297266"/>
    <w:rsid w:val="002A00E4"/>
    <w:rsid w:val="002A1875"/>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2723"/>
    <w:rsid w:val="002D6763"/>
    <w:rsid w:val="002D7B94"/>
    <w:rsid w:val="002E06F1"/>
    <w:rsid w:val="002E226E"/>
    <w:rsid w:val="002E3E35"/>
    <w:rsid w:val="002E5A48"/>
    <w:rsid w:val="002F297B"/>
    <w:rsid w:val="002F6E35"/>
    <w:rsid w:val="0030242C"/>
    <w:rsid w:val="00302890"/>
    <w:rsid w:val="00306F1E"/>
    <w:rsid w:val="00310410"/>
    <w:rsid w:val="00310CBE"/>
    <w:rsid w:val="00315DEC"/>
    <w:rsid w:val="0031740A"/>
    <w:rsid w:val="00317FDB"/>
    <w:rsid w:val="003250D8"/>
    <w:rsid w:val="00325FF2"/>
    <w:rsid w:val="00326958"/>
    <w:rsid w:val="0033012A"/>
    <w:rsid w:val="003308C3"/>
    <w:rsid w:val="00331528"/>
    <w:rsid w:val="00331ADC"/>
    <w:rsid w:val="00333776"/>
    <w:rsid w:val="00341682"/>
    <w:rsid w:val="003426BF"/>
    <w:rsid w:val="00345556"/>
    <w:rsid w:val="00346E5F"/>
    <w:rsid w:val="00353438"/>
    <w:rsid w:val="0035526C"/>
    <w:rsid w:val="00357B5C"/>
    <w:rsid w:val="00363410"/>
    <w:rsid w:val="00363A19"/>
    <w:rsid w:val="003656C4"/>
    <w:rsid w:val="00366F93"/>
    <w:rsid w:val="00370490"/>
    <w:rsid w:val="00370BC5"/>
    <w:rsid w:val="00370D5B"/>
    <w:rsid w:val="003743AD"/>
    <w:rsid w:val="00377A88"/>
    <w:rsid w:val="003816BC"/>
    <w:rsid w:val="00381874"/>
    <w:rsid w:val="00384A00"/>
    <w:rsid w:val="00384E5E"/>
    <w:rsid w:val="00387C3D"/>
    <w:rsid w:val="003921CA"/>
    <w:rsid w:val="00392614"/>
    <w:rsid w:val="0039263F"/>
    <w:rsid w:val="0039397A"/>
    <w:rsid w:val="00394544"/>
    <w:rsid w:val="00394DAA"/>
    <w:rsid w:val="003969F2"/>
    <w:rsid w:val="00396FD7"/>
    <w:rsid w:val="003A0B19"/>
    <w:rsid w:val="003A0C7A"/>
    <w:rsid w:val="003A16DA"/>
    <w:rsid w:val="003A3ADA"/>
    <w:rsid w:val="003A3B2A"/>
    <w:rsid w:val="003A501E"/>
    <w:rsid w:val="003A5581"/>
    <w:rsid w:val="003A63C1"/>
    <w:rsid w:val="003A656E"/>
    <w:rsid w:val="003B4560"/>
    <w:rsid w:val="003B4D75"/>
    <w:rsid w:val="003C3464"/>
    <w:rsid w:val="003C38EC"/>
    <w:rsid w:val="003C3D79"/>
    <w:rsid w:val="003C7C5D"/>
    <w:rsid w:val="003D523A"/>
    <w:rsid w:val="003E05C9"/>
    <w:rsid w:val="003E1520"/>
    <w:rsid w:val="003E21DB"/>
    <w:rsid w:val="003E3505"/>
    <w:rsid w:val="003E418E"/>
    <w:rsid w:val="003E7979"/>
    <w:rsid w:val="003F336B"/>
    <w:rsid w:val="003F4ADD"/>
    <w:rsid w:val="003F53FD"/>
    <w:rsid w:val="003F7027"/>
    <w:rsid w:val="003F7D6D"/>
    <w:rsid w:val="00406760"/>
    <w:rsid w:val="00413779"/>
    <w:rsid w:val="00424977"/>
    <w:rsid w:val="00424C70"/>
    <w:rsid w:val="00430A83"/>
    <w:rsid w:val="00431084"/>
    <w:rsid w:val="0043167A"/>
    <w:rsid w:val="00435539"/>
    <w:rsid w:val="00436B58"/>
    <w:rsid w:val="00436BEA"/>
    <w:rsid w:val="00437868"/>
    <w:rsid w:val="004406E3"/>
    <w:rsid w:val="0044335E"/>
    <w:rsid w:val="0044583F"/>
    <w:rsid w:val="00446C1B"/>
    <w:rsid w:val="00447B15"/>
    <w:rsid w:val="004533DB"/>
    <w:rsid w:val="00455D47"/>
    <w:rsid w:val="00457F17"/>
    <w:rsid w:val="004620FF"/>
    <w:rsid w:val="00462212"/>
    <w:rsid w:val="00464B7F"/>
    <w:rsid w:val="004655C1"/>
    <w:rsid w:val="00465789"/>
    <w:rsid w:val="004662C5"/>
    <w:rsid w:val="00480779"/>
    <w:rsid w:val="00483C50"/>
    <w:rsid w:val="004867C2"/>
    <w:rsid w:val="0048776C"/>
    <w:rsid w:val="00490A3D"/>
    <w:rsid w:val="0049195D"/>
    <w:rsid w:val="00491AB9"/>
    <w:rsid w:val="004934BE"/>
    <w:rsid w:val="00495DE3"/>
    <w:rsid w:val="004A4935"/>
    <w:rsid w:val="004B47D3"/>
    <w:rsid w:val="004C00C8"/>
    <w:rsid w:val="004C498B"/>
    <w:rsid w:val="004C67B1"/>
    <w:rsid w:val="004D1EAA"/>
    <w:rsid w:val="004D2C35"/>
    <w:rsid w:val="004D3DB5"/>
    <w:rsid w:val="004D6B97"/>
    <w:rsid w:val="004D7558"/>
    <w:rsid w:val="004E049B"/>
    <w:rsid w:val="004E200A"/>
    <w:rsid w:val="004E69F7"/>
    <w:rsid w:val="004E7409"/>
    <w:rsid w:val="004E74D1"/>
    <w:rsid w:val="004F2BAC"/>
    <w:rsid w:val="004F36C4"/>
    <w:rsid w:val="004F4628"/>
    <w:rsid w:val="004F62A8"/>
    <w:rsid w:val="00500104"/>
    <w:rsid w:val="0050038C"/>
    <w:rsid w:val="00505804"/>
    <w:rsid w:val="00506F79"/>
    <w:rsid w:val="00511D22"/>
    <w:rsid w:val="00514410"/>
    <w:rsid w:val="00515B11"/>
    <w:rsid w:val="00525580"/>
    <w:rsid w:val="005257EC"/>
    <w:rsid w:val="00526576"/>
    <w:rsid w:val="00526D08"/>
    <w:rsid w:val="00535221"/>
    <w:rsid w:val="0053540D"/>
    <w:rsid w:val="005359D4"/>
    <w:rsid w:val="00537E01"/>
    <w:rsid w:val="005400FC"/>
    <w:rsid w:val="00540352"/>
    <w:rsid w:val="005403E8"/>
    <w:rsid w:val="00551D48"/>
    <w:rsid w:val="005547CA"/>
    <w:rsid w:val="00555F68"/>
    <w:rsid w:val="005576F8"/>
    <w:rsid w:val="00560D9D"/>
    <w:rsid w:val="00561604"/>
    <w:rsid w:val="005720AB"/>
    <w:rsid w:val="005720EB"/>
    <w:rsid w:val="00580A6C"/>
    <w:rsid w:val="005837E2"/>
    <w:rsid w:val="00585F60"/>
    <w:rsid w:val="005860D2"/>
    <w:rsid w:val="005903AC"/>
    <w:rsid w:val="005975FE"/>
    <w:rsid w:val="00597AC6"/>
    <w:rsid w:val="005A151B"/>
    <w:rsid w:val="005A2D69"/>
    <w:rsid w:val="005A3797"/>
    <w:rsid w:val="005A5FF3"/>
    <w:rsid w:val="005A7F69"/>
    <w:rsid w:val="005B3BFB"/>
    <w:rsid w:val="005C2E96"/>
    <w:rsid w:val="005C40D5"/>
    <w:rsid w:val="005C40E0"/>
    <w:rsid w:val="005D1DEB"/>
    <w:rsid w:val="005D51C5"/>
    <w:rsid w:val="005D5D21"/>
    <w:rsid w:val="005D63FA"/>
    <w:rsid w:val="005E2B24"/>
    <w:rsid w:val="005E3C8D"/>
    <w:rsid w:val="005E3DA5"/>
    <w:rsid w:val="005E454D"/>
    <w:rsid w:val="005E7750"/>
    <w:rsid w:val="005F28ED"/>
    <w:rsid w:val="005F5DC1"/>
    <w:rsid w:val="005F6F8C"/>
    <w:rsid w:val="005F7ADD"/>
    <w:rsid w:val="005F7FEA"/>
    <w:rsid w:val="00606D02"/>
    <w:rsid w:val="006075CC"/>
    <w:rsid w:val="00615050"/>
    <w:rsid w:val="00615476"/>
    <w:rsid w:val="00616DE6"/>
    <w:rsid w:val="00620002"/>
    <w:rsid w:val="006220A0"/>
    <w:rsid w:val="00622372"/>
    <w:rsid w:val="00623E13"/>
    <w:rsid w:val="0062545D"/>
    <w:rsid w:val="00633E77"/>
    <w:rsid w:val="00633E9F"/>
    <w:rsid w:val="0063644E"/>
    <w:rsid w:val="00636D6D"/>
    <w:rsid w:val="006371A1"/>
    <w:rsid w:val="006404FF"/>
    <w:rsid w:val="00644FE4"/>
    <w:rsid w:val="0066062F"/>
    <w:rsid w:val="0066273C"/>
    <w:rsid w:val="00665F96"/>
    <w:rsid w:val="00671099"/>
    <w:rsid w:val="0067358F"/>
    <w:rsid w:val="0067395C"/>
    <w:rsid w:val="00675514"/>
    <w:rsid w:val="00676A56"/>
    <w:rsid w:val="0068215C"/>
    <w:rsid w:val="0068230E"/>
    <w:rsid w:val="00696268"/>
    <w:rsid w:val="0069799C"/>
    <w:rsid w:val="00697E5B"/>
    <w:rsid w:val="006A00C4"/>
    <w:rsid w:val="006A3C4F"/>
    <w:rsid w:val="006A465C"/>
    <w:rsid w:val="006A4FFC"/>
    <w:rsid w:val="006A6D7D"/>
    <w:rsid w:val="006A73F8"/>
    <w:rsid w:val="006B1180"/>
    <w:rsid w:val="006B2425"/>
    <w:rsid w:val="006B2483"/>
    <w:rsid w:val="006B30DC"/>
    <w:rsid w:val="006B3E08"/>
    <w:rsid w:val="006B4E3F"/>
    <w:rsid w:val="006B6D4A"/>
    <w:rsid w:val="006C2620"/>
    <w:rsid w:val="006C3304"/>
    <w:rsid w:val="006C4D80"/>
    <w:rsid w:val="006C7956"/>
    <w:rsid w:val="006D03BB"/>
    <w:rsid w:val="006D21FF"/>
    <w:rsid w:val="006D6098"/>
    <w:rsid w:val="006D680C"/>
    <w:rsid w:val="006E3BD4"/>
    <w:rsid w:val="006E4164"/>
    <w:rsid w:val="006E4721"/>
    <w:rsid w:val="006E4FD6"/>
    <w:rsid w:val="006E5B0A"/>
    <w:rsid w:val="006F265F"/>
    <w:rsid w:val="006F3FEB"/>
    <w:rsid w:val="006F4AFC"/>
    <w:rsid w:val="006F730C"/>
    <w:rsid w:val="006F73F3"/>
    <w:rsid w:val="00700DDD"/>
    <w:rsid w:val="007013D2"/>
    <w:rsid w:val="00702EB1"/>
    <w:rsid w:val="00702F11"/>
    <w:rsid w:val="007031B1"/>
    <w:rsid w:val="007043FD"/>
    <w:rsid w:val="00707736"/>
    <w:rsid w:val="00710D17"/>
    <w:rsid w:val="00710E6E"/>
    <w:rsid w:val="00711B96"/>
    <w:rsid w:val="00716DB7"/>
    <w:rsid w:val="007222A0"/>
    <w:rsid w:val="00731802"/>
    <w:rsid w:val="00735339"/>
    <w:rsid w:val="00746060"/>
    <w:rsid w:val="00747581"/>
    <w:rsid w:val="0075488B"/>
    <w:rsid w:val="0075544A"/>
    <w:rsid w:val="00756044"/>
    <w:rsid w:val="00756E06"/>
    <w:rsid w:val="00757559"/>
    <w:rsid w:val="007614D4"/>
    <w:rsid w:val="00761C9D"/>
    <w:rsid w:val="00761DA6"/>
    <w:rsid w:val="007628E3"/>
    <w:rsid w:val="00764A19"/>
    <w:rsid w:val="007700B1"/>
    <w:rsid w:val="00771735"/>
    <w:rsid w:val="00780B38"/>
    <w:rsid w:val="00781F52"/>
    <w:rsid w:val="007825D9"/>
    <w:rsid w:val="00787CE7"/>
    <w:rsid w:val="00793F06"/>
    <w:rsid w:val="007963EB"/>
    <w:rsid w:val="007A1493"/>
    <w:rsid w:val="007A2D95"/>
    <w:rsid w:val="007A2E39"/>
    <w:rsid w:val="007A4FD7"/>
    <w:rsid w:val="007B1192"/>
    <w:rsid w:val="007B1305"/>
    <w:rsid w:val="007B1E87"/>
    <w:rsid w:val="007B4A02"/>
    <w:rsid w:val="007B68FC"/>
    <w:rsid w:val="007C31C8"/>
    <w:rsid w:val="007C5192"/>
    <w:rsid w:val="007C6B92"/>
    <w:rsid w:val="007C7719"/>
    <w:rsid w:val="007D2AD5"/>
    <w:rsid w:val="007D6AE7"/>
    <w:rsid w:val="007D6CFB"/>
    <w:rsid w:val="007E1607"/>
    <w:rsid w:val="007E574B"/>
    <w:rsid w:val="007E5750"/>
    <w:rsid w:val="007E6923"/>
    <w:rsid w:val="007F2CE5"/>
    <w:rsid w:val="007F420D"/>
    <w:rsid w:val="008000B4"/>
    <w:rsid w:val="0080264C"/>
    <w:rsid w:val="008059AC"/>
    <w:rsid w:val="008065F4"/>
    <w:rsid w:val="008101F8"/>
    <w:rsid w:val="008114C8"/>
    <w:rsid w:val="00811638"/>
    <w:rsid w:val="00814AE7"/>
    <w:rsid w:val="00815382"/>
    <w:rsid w:val="00821341"/>
    <w:rsid w:val="00822316"/>
    <w:rsid w:val="00830296"/>
    <w:rsid w:val="00831AA0"/>
    <w:rsid w:val="008321D0"/>
    <w:rsid w:val="00833B51"/>
    <w:rsid w:val="008403EE"/>
    <w:rsid w:val="008405D8"/>
    <w:rsid w:val="00841251"/>
    <w:rsid w:val="00841793"/>
    <w:rsid w:val="008453D2"/>
    <w:rsid w:val="0085028F"/>
    <w:rsid w:val="00850F24"/>
    <w:rsid w:val="00852D7A"/>
    <w:rsid w:val="008540D9"/>
    <w:rsid w:val="00854CC7"/>
    <w:rsid w:val="00854FD1"/>
    <w:rsid w:val="008556C4"/>
    <w:rsid w:val="00865AD4"/>
    <w:rsid w:val="00865E7D"/>
    <w:rsid w:val="00867217"/>
    <w:rsid w:val="00872A9C"/>
    <w:rsid w:val="00872E66"/>
    <w:rsid w:val="00877B02"/>
    <w:rsid w:val="0088052F"/>
    <w:rsid w:val="008813AB"/>
    <w:rsid w:val="0088174A"/>
    <w:rsid w:val="00882E5C"/>
    <w:rsid w:val="008854AB"/>
    <w:rsid w:val="00886BC5"/>
    <w:rsid w:val="00893A1F"/>
    <w:rsid w:val="0089611E"/>
    <w:rsid w:val="00897391"/>
    <w:rsid w:val="008A1353"/>
    <w:rsid w:val="008A180A"/>
    <w:rsid w:val="008A2E3B"/>
    <w:rsid w:val="008A309B"/>
    <w:rsid w:val="008A705A"/>
    <w:rsid w:val="008B07B5"/>
    <w:rsid w:val="008B09D6"/>
    <w:rsid w:val="008B2BAC"/>
    <w:rsid w:val="008B4482"/>
    <w:rsid w:val="008B4E7B"/>
    <w:rsid w:val="008B5ADA"/>
    <w:rsid w:val="008C0044"/>
    <w:rsid w:val="008C16FA"/>
    <w:rsid w:val="008C39E1"/>
    <w:rsid w:val="008C42DA"/>
    <w:rsid w:val="008C5D23"/>
    <w:rsid w:val="008C792F"/>
    <w:rsid w:val="008C7AE0"/>
    <w:rsid w:val="008D19C5"/>
    <w:rsid w:val="008D4C05"/>
    <w:rsid w:val="008D4F8A"/>
    <w:rsid w:val="008D680C"/>
    <w:rsid w:val="008D6AB9"/>
    <w:rsid w:val="008E0151"/>
    <w:rsid w:val="008E2336"/>
    <w:rsid w:val="008E725C"/>
    <w:rsid w:val="008F2984"/>
    <w:rsid w:val="008F7DA8"/>
    <w:rsid w:val="00900ECE"/>
    <w:rsid w:val="00901CA4"/>
    <w:rsid w:val="009059B9"/>
    <w:rsid w:val="00905EE5"/>
    <w:rsid w:val="0091092D"/>
    <w:rsid w:val="00910B00"/>
    <w:rsid w:val="0091313F"/>
    <w:rsid w:val="00914549"/>
    <w:rsid w:val="009147A0"/>
    <w:rsid w:val="009157C5"/>
    <w:rsid w:val="00916365"/>
    <w:rsid w:val="0091711A"/>
    <w:rsid w:val="00917F77"/>
    <w:rsid w:val="0092292E"/>
    <w:rsid w:val="009250ED"/>
    <w:rsid w:val="009259C2"/>
    <w:rsid w:val="0092644A"/>
    <w:rsid w:val="00931483"/>
    <w:rsid w:val="009315B2"/>
    <w:rsid w:val="0093204A"/>
    <w:rsid w:val="00932372"/>
    <w:rsid w:val="00932E4E"/>
    <w:rsid w:val="00935598"/>
    <w:rsid w:val="009373D8"/>
    <w:rsid w:val="00940BA2"/>
    <w:rsid w:val="00944C5E"/>
    <w:rsid w:val="009555B9"/>
    <w:rsid w:val="0095642D"/>
    <w:rsid w:val="0096127B"/>
    <w:rsid w:val="00962492"/>
    <w:rsid w:val="009625E7"/>
    <w:rsid w:val="00963CDC"/>
    <w:rsid w:val="00964824"/>
    <w:rsid w:val="00964B48"/>
    <w:rsid w:val="0096772C"/>
    <w:rsid w:val="0097097D"/>
    <w:rsid w:val="00970A65"/>
    <w:rsid w:val="00972C11"/>
    <w:rsid w:val="009766F4"/>
    <w:rsid w:val="00976982"/>
    <w:rsid w:val="00976BEB"/>
    <w:rsid w:val="00976BF5"/>
    <w:rsid w:val="00980743"/>
    <w:rsid w:val="00981FE2"/>
    <w:rsid w:val="00982052"/>
    <w:rsid w:val="009822A9"/>
    <w:rsid w:val="00982410"/>
    <w:rsid w:val="00990338"/>
    <w:rsid w:val="00992832"/>
    <w:rsid w:val="00995D54"/>
    <w:rsid w:val="009A5344"/>
    <w:rsid w:val="009A5B76"/>
    <w:rsid w:val="009B11C3"/>
    <w:rsid w:val="009B53A7"/>
    <w:rsid w:val="009B58F5"/>
    <w:rsid w:val="009B69E2"/>
    <w:rsid w:val="009B6CDF"/>
    <w:rsid w:val="009B6D8C"/>
    <w:rsid w:val="009B76DA"/>
    <w:rsid w:val="009C13E5"/>
    <w:rsid w:val="009C17F5"/>
    <w:rsid w:val="009C4062"/>
    <w:rsid w:val="009C40AE"/>
    <w:rsid w:val="009C73FF"/>
    <w:rsid w:val="009D4BFD"/>
    <w:rsid w:val="009D4DBF"/>
    <w:rsid w:val="009D523A"/>
    <w:rsid w:val="009D58E7"/>
    <w:rsid w:val="009E168D"/>
    <w:rsid w:val="009E2852"/>
    <w:rsid w:val="009E66B9"/>
    <w:rsid w:val="009E69BF"/>
    <w:rsid w:val="009E6C29"/>
    <w:rsid w:val="009E715C"/>
    <w:rsid w:val="009E756D"/>
    <w:rsid w:val="009E7C89"/>
    <w:rsid w:val="009F11EC"/>
    <w:rsid w:val="009F33C2"/>
    <w:rsid w:val="009F45A2"/>
    <w:rsid w:val="00A01047"/>
    <w:rsid w:val="00A015E2"/>
    <w:rsid w:val="00A064A6"/>
    <w:rsid w:val="00A16FD5"/>
    <w:rsid w:val="00A219A4"/>
    <w:rsid w:val="00A23043"/>
    <w:rsid w:val="00A25844"/>
    <w:rsid w:val="00A2602A"/>
    <w:rsid w:val="00A26E0C"/>
    <w:rsid w:val="00A270F8"/>
    <w:rsid w:val="00A30C7E"/>
    <w:rsid w:val="00A311C2"/>
    <w:rsid w:val="00A343A5"/>
    <w:rsid w:val="00A35A3C"/>
    <w:rsid w:val="00A3715B"/>
    <w:rsid w:val="00A40FBE"/>
    <w:rsid w:val="00A469D3"/>
    <w:rsid w:val="00A5381D"/>
    <w:rsid w:val="00A53EA8"/>
    <w:rsid w:val="00A563A5"/>
    <w:rsid w:val="00A60379"/>
    <w:rsid w:val="00A606CF"/>
    <w:rsid w:val="00A60795"/>
    <w:rsid w:val="00A66515"/>
    <w:rsid w:val="00A66A4E"/>
    <w:rsid w:val="00A70EF5"/>
    <w:rsid w:val="00A74AFC"/>
    <w:rsid w:val="00A8078C"/>
    <w:rsid w:val="00A81E86"/>
    <w:rsid w:val="00A83FAD"/>
    <w:rsid w:val="00A8684E"/>
    <w:rsid w:val="00A87BDD"/>
    <w:rsid w:val="00A900BC"/>
    <w:rsid w:val="00A91933"/>
    <w:rsid w:val="00A92089"/>
    <w:rsid w:val="00A934B3"/>
    <w:rsid w:val="00A960CD"/>
    <w:rsid w:val="00A96CD2"/>
    <w:rsid w:val="00AA1231"/>
    <w:rsid w:val="00AA174B"/>
    <w:rsid w:val="00AA795E"/>
    <w:rsid w:val="00AB496C"/>
    <w:rsid w:val="00AB7AB9"/>
    <w:rsid w:val="00AB7DAD"/>
    <w:rsid w:val="00AC603E"/>
    <w:rsid w:val="00AC6828"/>
    <w:rsid w:val="00AD2206"/>
    <w:rsid w:val="00AD24F3"/>
    <w:rsid w:val="00AD2E6C"/>
    <w:rsid w:val="00AD65C9"/>
    <w:rsid w:val="00AE0C9D"/>
    <w:rsid w:val="00AE36BE"/>
    <w:rsid w:val="00AE3DBB"/>
    <w:rsid w:val="00AF0545"/>
    <w:rsid w:val="00AF54F1"/>
    <w:rsid w:val="00B000BE"/>
    <w:rsid w:val="00B01117"/>
    <w:rsid w:val="00B01CB5"/>
    <w:rsid w:val="00B023D9"/>
    <w:rsid w:val="00B02C9E"/>
    <w:rsid w:val="00B04DDB"/>
    <w:rsid w:val="00B05620"/>
    <w:rsid w:val="00B07E1D"/>
    <w:rsid w:val="00B10DE5"/>
    <w:rsid w:val="00B11994"/>
    <w:rsid w:val="00B11C13"/>
    <w:rsid w:val="00B11F80"/>
    <w:rsid w:val="00B1307C"/>
    <w:rsid w:val="00B176FD"/>
    <w:rsid w:val="00B20617"/>
    <w:rsid w:val="00B30F06"/>
    <w:rsid w:val="00B331F4"/>
    <w:rsid w:val="00B33BD4"/>
    <w:rsid w:val="00B410BC"/>
    <w:rsid w:val="00B42423"/>
    <w:rsid w:val="00B45465"/>
    <w:rsid w:val="00B45B86"/>
    <w:rsid w:val="00B518EB"/>
    <w:rsid w:val="00B52606"/>
    <w:rsid w:val="00B57DCF"/>
    <w:rsid w:val="00B6037C"/>
    <w:rsid w:val="00B64919"/>
    <w:rsid w:val="00B64D09"/>
    <w:rsid w:val="00B70919"/>
    <w:rsid w:val="00B72C2C"/>
    <w:rsid w:val="00B73D4C"/>
    <w:rsid w:val="00B80400"/>
    <w:rsid w:val="00B83B64"/>
    <w:rsid w:val="00B86797"/>
    <w:rsid w:val="00B86E7E"/>
    <w:rsid w:val="00B9069A"/>
    <w:rsid w:val="00B90E1D"/>
    <w:rsid w:val="00B949A7"/>
    <w:rsid w:val="00B973C9"/>
    <w:rsid w:val="00BA0343"/>
    <w:rsid w:val="00BA290C"/>
    <w:rsid w:val="00BA36B1"/>
    <w:rsid w:val="00BA6807"/>
    <w:rsid w:val="00BA7532"/>
    <w:rsid w:val="00BA79D9"/>
    <w:rsid w:val="00BB000E"/>
    <w:rsid w:val="00BB076D"/>
    <w:rsid w:val="00BB4F8E"/>
    <w:rsid w:val="00BB5573"/>
    <w:rsid w:val="00BB5649"/>
    <w:rsid w:val="00BB74AC"/>
    <w:rsid w:val="00BC0F22"/>
    <w:rsid w:val="00BC2562"/>
    <w:rsid w:val="00BC3468"/>
    <w:rsid w:val="00BD770A"/>
    <w:rsid w:val="00BE1821"/>
    <w:rsid w:val="00BE18A5"/>
    <w:rsid w:val="00BE2195"/>
    <w:rsid w:val="00BE266D"/>
    <w:rsid w:val="00BE33C8"/>
    <w:rsid w:val="00BE6386"/>
    <w:rsid w:val="00BE6894"/>
    <w:rsid w:val="00BF1CE7"/>
    <w:rsid w:val="00BF39D4"/>
    <w:rsid w:val="00BF3F82"/>
    <w:rsid w:val="00BF5B09"/>
    <w:rsid w:val="00BF7326"/>
    <w:rsid w:val="00C01B00"/>
    <w:rsid w:val="00C023CB"/>
    <w:rsid w:val="00C03960"/>
    <w:rsid w:val="00C114B1"/>
    <w:rsid w:val="00C138B9"/>
    <w:rsid w:val="00C14871"/>
    <w:rsid w:val="00C227CB"/>
    <w:rsid w:val="00C22C89"/>
    <w:rsid w:val="00C247F2"/>
    <w:rsid w:val="00C25F71"/>
    <w:rsid w:val="00C2694D"/>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1052"/>
    <w:rsid w:val="00C714E8"/>
    <w:rsid w:val="00C716F5"/>
    <w:rsid w:val="00C721F1"/>
    <w:rsid w:val="00C7488A"/>
    <w:rsid w:val="00C749D7"/>
    <w:rsid w:val="00C76D8E"/>
    <w:rsid w:val="00C809DE"/>
    <w:rsid w:val="00C81C15"/>
    <w:rsid w:val="00C81CE4"/>
    <w:rsid w:val="00C83353"/>
    <w:rsid w:val="00C90FA2"/>
    <w:rsid w:val="00C9315C"/>
    <w:rsid w:val="00C94B60"/>
    <w:rsid w:val="00C94CD7"/>
    <w:rsid w:val="00C95148"/>
    <w:rsid w:val="00C971DE"/>
    <w:rsid w:val="00CA1FFC"/>
    <w:rsid w:val="00CA6471"/>
    <w:rsid w:val="00CA73BC"/>
    <w:rsid w:val="00CA7F45"/>
    <w:rsid w:val="00CB1CB6"/>
    <w:rsid w:val="00CB3552"/>
    <w:rsid w:val="00CB4AFD"/>
    <w:rsid w:val="00CB5665"/>
    <w:rsid w:val="00CB6EDA"/>
    <w:rsid w:val="00CB77C1"/>
    <w:rsid w:val="00CC1B89"/>
    <w:rsid w:val="00CC2B56"/>
    <w:rsid w:val="00CC66DA"/>
    <w:rsid w:val="00CD0D49"/>
    <w:rsid w:val="00CD148B"/>
    <w:rsid w:val="00CD30C4"/>
    <w:rsid w:val="00CD3139"/>
    <w:rsid w:val="00CD6D3D"/>
    <w:rsid w:val="00CE347E"/>
    <w:rsid w:val="00CE55BF"/>
    <w:rsid w:val="00CE614C"/>
    <w:rsid w:val="00CF429F"/>
    <w:rsid w:val="00CF69CD"/>
    <w:rsid w:val="00CF6E72"/>
    <w:rsid w:val="00CF773F"/>
    <w:rsid w:val="00CF7C68"/>
    <w:rsid w:val="00D04B5A"/>
    <w:rsid w:val="00D05BD4"/>
    <w:rsid w:val="00D1112A"/>
    <w:rsid w:val="00D13A18"/>
    <w:rsid w:val="00D154AE"/>
    <w:rsid w:val="00D15E8A"/>
    <w:rsid w:val="00D170E4"/>
    <w:rsid w:val="00D17BAD"/>
    <w:rsid w:val="00D206F1"/>
    <w:rsid w:val="00D24A4A"/>
    <w:rsid w:val="00D3011C"/>
    <w:rsid w:val="00D30835"/>
    <w:rsid w:val="00D30C95"/>
    <w:rsid w:val="00D3206B"/>
    <w:rsid w:val="00D32D01"/>
    <w:rsid w:val="00D3411D"/>
    <w:rsid w:val="00D34EAD"/>
    <w:rsid w:val="00D36529"/>
    <w:rsid w:val="00D36A2A"/>
    <w:rsid w:val="00D426AD"/>
    <w:rsid w:val="00D44594"/>
    <w:rsid w:val="00D44A26"/>
    <w:rsid w:val="00D46CC5"/>
    <w:rsid w:val="00D47032"/>
    <w:rsid w:val="00D50DC3"/>
    <w:rsid w:val="00D541E7"/>
    <w:rsid w:val="00D61871"/>
    <w:rsid w:val="00D65ADB"/>
    <w:rsid w:val="00D70320"/>
    <w:rsid w:val="00D71B98"/>
    <w:rsid w:val="00D72A59"/>
    <w:rsid w:val="00D73318"/>
    <w:rsid w:val="00D73AAE"/>
    <w:rsid w:val="00D76101"/>
    <w:rsid w:val="00D76572"/>
    <w:rsid w:val="00D849EE"/>
    <w:rsid w:val="00D854D7"/>
    <w:rsid w:val="00D864BC"/>
    <w:rsid w:val="00D8659F"/>
    <w:rsid w:val="00D873E3"/>
    <w:rsid w:val="00D9439C"/>
    <w:rsid w:val="00D944D4"/>
    <w:rsid w:val="00D9514C"/>
    <w:rsid w:val="00D95D18"/>
    <w:rsid w:val="00DA37FA"/>
    <w:rsid w:val="00DA3861"/>
    <w:rsid w:val="00DA3ACA"/>
    <w:rsid w:val="00DA489E"/>
    <w:rsid w:val="00DA4E74"/>
    <w:rsid w:val="00DA59B6"/>
    <w:rsid w:val="00DB0CFD"/>
    <w:rsid w:val="00DB1436"/>
    <w:rsid w:val="00DB2324"/>
    <w:rsid w:val="00DB4594"/>
    <w:rsid w:val="00DC02C5"/>
    <w:rsid w:val="00DC0518"/>
    <w:rsid w:val="00DC1F96"/>
    <w:rsid w:val="00DC2044"/>
    <w:rsid w:val="00DC2FD1"/>
    <w:rsid w:val="00DC57DB"/>
    <w:rsid w:val="00DC7D33"/>
    <w:rsid w:val="00DD2ADB"/>
    <w:rsid w:val="00DD3AAE"/>
    <w:rsid w:val="00DD4351"/>
    <w:rsid w:val="00DE061D"/>
    <w:rsid w:val="00DE222B"/>
    <w:rsid w:val="00DE4BDB"/>
    <w:rsid w:val="00DE4FC5"/>
    <w:rsid w:val="00DE58F4"/>
    <w:rsid w:val="00DF3111"/>
    <w:rsid w:val="00DF35FB"/>
    <w:rsid w:val="00DF37EA"/>
    <w:rsid w:val="00DF4330"/>
    <w:rsid w:val="00DF4F75"/>
    <w:rsid w:val="00DF683E"/>
    <w:rsid w:val="00DF7006"/>
    <w:rsid w:val="00DF7CFB"/>
    <w:rsid w:val="00E03CD2"/>
    <w:rsid w:val="00E03DB4"/>
    <w:rsid w:val="00E07E56"/>
    <w:rsid w:val="00E141D5"/>
    <w:rsid w:val="00E15AD4"/>
    <w:rsid w:val="00E16443"/>
    <w:rsid w:val="00E202FA"/>
    <w:rsid w:val="00E218CA"/>
    <w:rsid w:val="00E23370"/>
    <w:rsid w:val="00E2458E"/>
    <w:rsid w:val="00E253D5"/>
    <w:rsid w:val="00E25645"/>
    <w:rsid w:val="00E25775"/>
    <w:rsid w:val="00E25929"/>
    <w:rsid w:val="00E319ED"/>
    <w:rsid w:val="00E36050"/>
    <w:rsid w:val="00E4054A"/>
    <w:rsid w:val="00E4096D"/>
    <w:rsid w:val="00E41FF2"/>
    <w:rsid w:val="00E42570"/>
    <w:rsid w:val="00E4482D"/>
    <w:rsid w:val="00E44B95"/>
    <w:rsid w:val="00E461E1"/>
    <w:rsid w:val="00E463A9"/>
    <w:rsid w:val="00E50C9B"/>
    <w:rsid w:val="00E55240"/>
    <w:rsid w:val="00E56206"/>
    <w:rsid w:val="00E57389"/>
    <w:rsid w:val="00E57A14"/>
    <w:rsid w:val="00E60FEB"/>
    <w:rsid w:val="00E6337E"/>
    <w:rsid w:val="00E64671"/>
    <w:rsid w:val="00E64E0C"/>
    <w:rsid w:val="00E655FB"/>
    <w:rsid w:val="00E67AF9"/>
    <w:rsid w:val="00E70E22"/>
    <w:rsid w:val="00E71EDC"/>
    <w:rsid w:val="00E742E4"/>
    <w:rsid w:val="00E77099"/>
    <w:rsid w:val="00E77EEF"/>
    <w:rsid w:val="00E81DAA"/>
    <w:rsid w:val="00E85F06"/>
    <w:rsid w:val="00E86C8F"/>
    <w:rsid w:val="00E877DB"/>
    <w:rsid w:val="00E93348"/>
    <w:rsid w:val="00E9485E"/>
    <w:rsid w:val="00E97688"/>
    <w:rsid w:val="00EA0FE1"/>
    <w:rsid w:val="00EA2F43"/>
    <w:rsid w:val="00EA7592"/>
    <w:rsid w:val="00EB175C"/>
    <w:rsid w:val="00EB7A57"/>
    <w:rsid w:val="00EB7B14"/>
    <w:rsid w:val="00EC1999"/>
    <w:rsid w:val="00EC2FE1"/>
    <w:rsid w:val="00EC3600"/>
    <w:rsid w:val="00EC4A25"/>
    <w:rsid w:val="00EC56CD"/>
    <w:rsid w:val="00ED17E5"/>
    <w:rsid w:val="00ED6E80"/>
    <w:rsid w:val="00EE11F8"/>
    <w:rsid w:val="00EE2D10"/>
    <w:rsid w:val="00EE3C1D"/>
    <w:rsid w:val="00EF112F"/>
    <w:rsid w:val="00EF14AC"/>
    <w:rsid w:val="00EF2082"/>
    <w:rsid w:val="00EF2D49"/>
    <w:rsid w:val="00EF6B9D"/>
    <w:rsid w:val="00F04524"/>
    <w:rsid w:val="00F0490D"/>
    <w:rsid w:val="00F07599"/>
    <w:rsid w:val="00F1029B"/>
    <w:rsid w:val="00F12333"/>
    <w:rsid w:val="00F14FDC"/>
    <w:rsid w:val="00F158A4"/>
    <w:rsid w:val="00F220AC"/>
    <w:rsid w:val="00F2315C"/>
    <w:rsid w:val="00F258AA"/>
    <w:rsid w:val="00F26299"/>
    <w:rsid w:val="00F318F6"/>
    <w:rsid w:val="00F326A0"/>
    <w:rsid w:val="00F360C9"/>
    <w:rsid w:val="00F43593"/>
    <w:rsid w:val="00F44272"/>
    <w:rsid w:val="00F47EEA"/>
    <w:rsid w:val="00F553C3"/>
    <w:rsid w:val="00F567E2"/>
    <w:rsid w:val="00F57DFA"/>
    <w:rsid w:val="00F6063A"/>
    <w:rsid w:val="00F60738"/>
    <w:rsid w:val="00F61242"/>
    <w:rsid w:val="00F6274E"/>
    <w:rsid w:val="00F667F3"/>
    <w:rsid w:val="00F70118"/>
    <w:rsid w:val="00F72D5E"/>
    <w:rsid w:val="00F756FE"/>
    <w:rsid w:val="00F770B2"/>
    <w:rsid w:val="00F80A85"/>
    <w:rsid w:val="00F81C42"/>
    <w:rsid w:val="00F85145"/>
    <w:rsid w:val="00F85583"/>
    <w:rsid w:val="00F85B01"/>
    <w:rsid w:val="00F878AA"/>
    <w:rsid w:val="00F92064"/>
    <w:rsid w:val="00F9218C"/>
    <w:rsid w:val="00F93A13"/>
    <w:rsid w:val="00F957AF"/>
    <w:rsid w:val="00FA03B3"/>
    <w:rsid w:val="00FA2C86"/>
    <w:rsid w:val="00FA5936"/>
    <w:rsid w:val="00FA73CD"/>
    <w:rsid w:val="00FB0194"/>
    <w:rsid w:val="00FB0524"/>
    <w:rsid w:val="00FB1B21"/>
    <w:rsid w:val="00FB3347"/>
    <w:rsid w:val="00FC50A5"/>
    <w:rsid w:val="00FC6324"/>
    <w:rsid w:val="00FC7F31"/>
    <w:rsid w:val="00FD1898"/>
    <w:rsid w:val="00FD327B"/>
    <w:rsid w:val="00FD70FD"/>
    <w:rsid w:val="00FE035D"/>
    <w:rsid w:val="00FE1900"/>
    <w:rsid w:val="00FE3270"/>
    <w:rsid w:val="00FE5257"/>
    <w:rsid w:val="00FE6148"/>
    <w:rsid w:val="00FE7DA9"/>
    <w:rsid w:val="00FF374D"/>
    <w:rsid w:val="00FF3AA5"/>
    <w:rsid w:val="00FF4446"/>
    <w:rsid w:val="00FF575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66236F0"/>
  <w15:docId w15:val="{59652B46-82A4-4D7B-951D-FDB219E7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0" w:unhideWhenUsed="1" w:qFormat="1"/>
    <w:lsdException w:name="toc 4" w:locked="0"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iPriority="39" w:unhideWhenUsed="1" w:qFormat="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locked="0" w:semiHidden="1" w:uiPriority="0" w:unhideWhenUsed="1" w:qFormat="1"/>
    <w:lsdException w:name="endnote reference"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64A40"/>
    <w:pPr>
      <w:spacing w:after="0" w:line="280" w:lineRule="exact"/>
      <w:ind w:firstLine="432"/>
    </w:pPr>
    <w:rPr>
      <w:rFonts w:ascii="Tahoma" w:eastAsia="Times New Roman" w:hAnsi="Tahoma" w:cs="Times New Roman"/>
      <w:sz w:val="21"/>
      <w:szCs w:val="20"/>
    </w:rPr>
  </w:style>
  <w:style w:type="paragraph" w:styleId="Heading1">
    <w:name w:val="heading 1"/>
    <w:basedOn w:val="Normal"/>
    <w:next w:val="NormalSS"/>
    <w:link w:val="Heading1Char"/>
    <w:semiHidden/>
    <w:locked/>
    <w:rsid w:val="00910B00"/>
    <w:pPr>
      <w:keepNext/>
      <w:pBdr>
        <w:bottom w:val="single" w:sz="2" w:space="1" w:color="auto"/>
      </w:pBdr>
      <w:tabs>
        <w:tab w:val="left" w:pos="432"/>
      </w:tabs>
      <w:spacing w:before="240" w:after="240"/>
      <w:ind w:firstLine="0"/>
      <w:outlineLvl w:val="0"/>
    </w:pPr>
    <w:rPr>
      <w:rFonts w:ascii="Arial Black" w:hAnsi="Arial Black"/>
      <w:caps/>
    </w:rPr>
  </w:style>
  <w:style w:type="paragraph" w:styleId="Heading2">
    <w:name w:val="heading 2"/>
    <w:basedOn w:val="Normal"/>
    <w:next w:val="NormalSS"/>
    <w:link w:val="Heading2Char"/>
    <w:semiHidden/>
    <w:qFormat/>
    <w:locked/>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rPr>
  </w:style>
  <w:style w:type="paragraph" w:styleId="Heading3">
    <w:name w:val="heading 3"/>
    <w:basedOn w:val="Normal"/>
    <w:next w:val="NormalSS"/>
    <w:link w:val="Heading3Char"/>
    <w:semiHidden/>
    <w:qFormat/>
    <w:locked/>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locked/>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8"/>
      </w:numPr>
      <w:spacing w:after="120"/>
      <w:outlineLvl w:val="5"/>
    </w:pPr>
  </w:style>
  <w:style w:type="paragraph" w:styleId="Heading7">
    <w:name w:val="heading 7"/>
    <w:basedOn w:val="Normal"/>
    <w:next w:val="Normal"/>
    <w:link w:val="Heading7Char"/>
    <w:semiHidden/>
    <w:qFormat/>
    <w:locked/>
    <w:rsid w:val="002B76AB"/>
    <w:pPr>
      <w:keepNext/>
      <w:numPr>
        <w:ilvl w:val="6"/>
        <w:numId w:val="8"/>
      </w:numPr>
      <w:spacing w:after="120"/>
      <w:outlineLvl w:val="6"/>
    </w:pPr>
  </w:style>
  <w:style w:type="paragraph" w:styleId="Heading8">
    <w:name w:val="heading 8"/>
    <w:basedOn w:val="Normal"/>
    <w:next w:val="Normal"/>
    <w:link w:val="Heading8Char"/>
    <w:semiHidden/>
    <w:qFormat/>
    <w:locked/>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272CB"/>
    <w:rPr>
      <w:rFonts w:cs="Tahoma"/>
      <w:sz w:val="16"/>
      <w:szCs w:val="16"/>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85B01"/>
    <w:pPr>
      <w:numPr>
        <w:numId w:val="1"/>
      </w:numPr>
      <w:tabs>
        <w:tab w:val="left" w:pos="432"/>
      </w:tabs>
      <w:spacing w:before="80" w:line="240" w:lineRule="exact"/>
    </w:pPr>
  </w:style>
  <w:style w:type="paragraph" w:customStyle="1" w:styleId="BulletLastSS">
    <w:name w:val="Bullet (Last SS)"/>
    <w:basedOn w:val="Bullet"/>
    <w:next w:val="NormalSS"/>
    <w:qFormat/>
    <w:locked/>
    <w:rsid w:val="009A5B76"/>
    <w:pPr>
      <w:numPr>
        <w:numId w:val="2"/>
      </w:numPr>
      <w:spacing w:after="240"/>
      <w:ind w:left="432" w:hanging="432"/>
    </w:pPr>
  </w:style>
  <w:style w:type="paragraph" w:customStyle="1" w:styleId="BulletLastDS">
    <w:name w:val="Bullet (Last DS)"/>
    <w:basedOn w:val="Bullet"/>
    <w:next w:val="Normal"/>
    <w:qFormat/>
    <w:locked/>
    <w:rsid w:val="00455D47"/>
    <w:pPr>
      <w:numPr>
        <w:numId w:val="3"/>
      </w:numPr>
      <w:spacing w:after="320"/>
      <w:ind w:left="432" w:hanging="432"/>
    </w:pPr>
  </w:style>
  <w:style w:type="paragraph" w:customStyle="1" w:styleId="Center">
    <w:name w:val="Center"/>
    <w:basedOn w:val="Normal"/>
    <w:semiHidden/>
    <w:unhideWhenUsed/>
    <w:locked/>
    <w:rsid w:val="002E3E35"/>
    <w:pPr>
      <w:ind w:firstLine="0"/>
      <w:jc w:val="center"/>
    </w:pPr>
  </w:style>
  <w:style w:type="paragraph" w:customStyle="1" w:styleId="Dash">
    <w:name w:val="Dash"/>
    <w:basedOn w:val="Normal"/>
    <w:qFormat/>
    <w:rsid w:val="001A51E6"/>
    <w:pPr>
      <w:numPr>
        <w:numId w:val="4"/>
      </w:numPr>
      <w:tabs>
        <w:tab w:val="left" w:pos="288"/>
      </w:tabs>
      <w:spacing w:before="120"/>
      <w:ind w:left="1584" w:hanging="720"/>
      <w:contextualSpacing/>
    </w:pPr>
  </w:style>
  <w:style w:type="paragraph" w:customStyle="1" w:styleId="DashLASTSS">
    <w:name w:val="Dash (LAST SS)"/>
    <w:basedOn w:val="Dash"/>
    <w:next w:val="NormalSS"/>
    <w:qFormat/>
    <w:locked/>
    <w:rsid w:val="002B76AB"/>
    <w:pPr>
      <w:numPr>
        <w:numId w:val="5"/>
      </w:numPr>
      <w:spacing w:after="240"/>
    </w:pPr>
  </w:style>
  <w:style w:type="paragraph" w:customStyle="1" w:styleId="DashLASTDS">
    <w:name w:val="Dash (LAST DS)"/>
    <w:basedOn w:val="Dash"/>
    <w:next w:val="Normal"/>
    <w:qFormat/>
    <w:locked/>
    <w:rsid w:val="004867C2"/>
    <w:pPr>
      <w:spacing w:after="320"/>
    </w:pPr>
    <w:rPr>
      <w:szCs w:val="24"/>
    </w:rPr>
  </w:style>
  <w:style w:type="paragraph" w:styleId="Footer">
    <w:name w:val="footer"/>
    <w:basedOn w:val="Normal"/>
    <w:link w:val="FooterChar"/>
    <w:qFormat/>
    <w:rsid w:val="00FF3AA5"/>
    <w:pPr>
      <w:pBdr>
        <w:top w:val="single" w:sz="2" w:space="1" w:color="1888BA"/>
        <w:bottom w:val="single" w:sz="2" w:space="3" w:color="1888BA"/>
      </w:pBdr>
      <w:tabs>
        <w:tab w:val="center" w:pos="4320"/>
        <w:tab w:val="right" w:pos="9360"/>
      </w:tabs>
      <w:spacing w:line="200" w:lineRule="exact"/>
      <w:ind w:firstLine="0"/>
      <w:jc w:val="both"/>
    </w:pPr>
    <w:rPr>
      <w:sz w:val="16"/>
    </w:rPr>
  </w:style>
  <w:style w:type="character" w:customStyle="1" w:styleId="FooterChar">
    <w:name w:val="Footer Char"/>
    <w:basedOn w:val="DefaultParagraphFont"/>
    <w:link w:val="Footer"/>
    <w:rsid w:val="00FF3AA5"/>
    <w:rPr>
      <w:rFonts w:ascii="Tahoma" w:eastAsia="Times New Roman" w:hAnsi="Tahoma" w:cs="Times New Roman"/>
      <w:sz w:val="16"/>
      <w:szCs w:val="20"/>
    </w:rPr>
  </w:style>
  <w:style w:type="paragraph" w:styleId="DocumentMap">
    <w:name w:val="Document Map"/>
    <w:basedOn w:val="Normal"/>
    <w:link w:val="DocumentMapChar"/>
    <w:semiHidden/>
    <w:unhideWhenUsed/>
    <w:lock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customStyle="1" w:styleId="HeaderNoText">
    <w:name w:val="Header No Text"/>
    <w:basedOn w:val="SWFIHeader"/>
    <w:qFormat/>
    <w:rsid w:val="00FB1B21"/>
    <w:rPr>
      <w:sz w:val="4"/>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locked/>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locked/>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ahoma" w:eastAsia="Times New Roman" w:hAnsi="Tahoma" w:cs="Times New Roman"/>
      <w:b/>
      <w:sz w:val="21"/>
      <w:szCs w:val="20"/>
    </w:rPr>
  </w:style>
  <w:style w:type="character" w:customStyle="1" w:styleId="Heading6Char">
    <w:name w:val="Heading 6 Char"/>
    <w:basedOn w:val="DefaultParagraphFont"/>
    <w:link w:val="Heading6"/>
    <w:semiHidden/>
    <w:rsid w:val="002B76AB"/>
    <w:rPr>
      <w:rFonts w:ascii="Tahoma" w:eastAsia="Times New Roman" w:hAnsi="Tahoma" w:cs="Times New Roman"/>
      <w:sz w:val="21"/>
      <w:szCs w:val="20"/>
    </w:rPr>
  </w:style>
  <w:style w:type="character" w:customStyle="1" w:styleId="Heading7Char">
    <w:name w:val="Heading 7 Char"/>
    <w:basedOn w:val="DefaultParagraphFont"/>
    <w:link w:val="Heading7"/>
    <w:semiHidden/>
    <w:rsid w:val="002B76AB"/>
    <w:rPr>
      <w:rFonts w:ascii="Tahoma" w:eastAsia="Times New Roman" w:hAnsi="Tahoma" w:cs="Times New Roman"/>
      <w:sz w:val="21"/>
      <w:szCs w:val="20"/>
    </w:rPr>
  </w:style>
  <w:style w:type="character" w:customStyle="1" w:styleId="Heading8Char">
    <w:name w:val="Heading 8 Char"/>
    <w:basedOn w:val="DefaultParagraphFont"/>
    <w:link w:val="Heading8"/>
    <w:semiHidden/>
    <w:rsid w:val="002B76AB"/>
    <w:rPr>
      <w:rFonts w:ascii="Tahoma" w:eastAsia="Times New Roman" w:hAnsi="Tahoma" w:cs="Times New Roman"/>
      <w:sz w:val="21"/>
      <w:szCs w:val="20"/>
    </w:rPr>
  </w:style>
  <w:style w:type="character" w:customStyle="1" w:styleId="Heading9Char">
    <w:name w:val="Heading 9 Char"/>
    <w:aliases w:val="Heading 9 (business proposal only) Char"/>
    <w:basedOn w:val="DefaultParagraphFont"/>
    <w:link w:val="Heading9"/>
    <w:semiHidden/>
    <w:rsid w:val="005C40E0"/>
    <w:rPr>
      <w:rFonts w:ascii="Tahoma" w:eastAsia="Times New Roman" w:hAnsi="Tahoma" w:cs="Times New Roman"/>
      <w:sz w:val="21"/>
      <w:szCs w:val="20"/>
    </w:rPr>
  </w:style>
  <w:style w:type="paragraph" w:customStyle="1" w:styleId="MarkforAppendixTitle">
    <w:name w:val="Mark for Appendix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AttachmentTitle">
    <w:name w:val="Mark for Attachment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locked/>
    <w:rsid w:val="000B764C"/>
  </w:style>
  <w:style w:type="paragraph" w:customStyle="1" w:styleId="MarkforTableTitle">
    <w:name w:val="Mark for Table Title"/>
    <w:basedOn w:val="Normal"/>
    <w:next w:val="NormalSS"/>
    <w:qFormat/>
    <w:rsid w:val="00FA2C86"/>
    <w:pPr>
      <w:keepNext/>
      <w:spacing w:after="60"/>
      <w:ind w:firstLine="0"/>
    </w:pPr>
    <w:rPr>
      <w:sz w:val="20"/>
    </w:rPr>
  </w:style>
  <w:style w:type="paragraph" w:customStyle="1" w:styleId="MarkforFigureTitle">
    <w:name w:val="Mark for Figure Title"/>
    <w:basedOn w:val="MarkforTableTitle"/>
    <w:next w:val="NormalSS"/>
    <w:qFormat/>
    <w:locked/>
    <w:rsid w:val="00B10DE5"/>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locked/>
    <w:rsid w:val="000B764C"/>
    <w:rPr>
      <w:rFonts w:ascii="Arial" w:hAnsi="Arial"/>
      <w:vanish w:val="0"/>
      <w:color w:val="auto"/>
      <w:sz w:val="18"/>
    </w:rPr>
  </w:style>
  <w:style w:type="paragraph" w:customStyle="1" w:styleId="Normalcontinued">
    <w:name w:val="Normal (continued)"/>
    <w:basedOn w:val="Normal"/>
    <w:next w:val="Normal"/>
    <w:qFormat/>
    <w:locked/>
    <w:rsid w:val="008854AB"/>
    <w:pPr>
      <w:ind w:firstLine="0"/>
    </w:pPr>
  </w:style>
  <w:style w:type="paragraph" w:customStyle="1" w:styleId="NormalSS">
    <w:name w:val="NormalSS"/>
    <w:basedOn w:val="Normal"/>
    <w:qFormat/>
    <w:rsid w:val="008854AB"/>
    <w:pPr>
      <w:spacing w:before="160" w:after="200"/>
      <w:ind w:firstLine="0"/>
    </w:pPr>
  </w:style>
  <w:style w:type="paragraph" w:customStyle="1" w:styleId="NormalSScontinued">
    <w:name w:val="NormalSS (continued)"/>
    <w:basedOn w:val="NormalSS"/>
    <w:next w:val="NormalSS"/>
    <w:qFormat/>
    <w:locked/>
    <w:rsid w:val="001148F3"/>
  </w:style>
  <w:style w:type="paragraph" w:customStyle="1" w:styleId="NumberedBullet">
    <w:name w:val="Numbered Bullet"/>
    <w:basedOn w:val="Normal"/>
    <w:link w:val="NumberedBulletChar"/>
    <w:qFormat/>
    <w:rsid w:val="00455D47"/>
    <w:pPr>
      <w:numPr>
        <w:numId w:val="7"/>
      </w:numPr>
      <w:tabs>
        <w:tab w:val="clear" w:pos="792"/>
        <w:tab w:val="left" w:pos="432"/>
      </w:tabs>
      <w:spacing w:after="120"/>
      <w:ind w:left="432" w:hanging="432"/>
    </w:pPr>
  </w:style>
  <w:style w:type="paragraph" w:customStyle="1" w:styleId="Outline">
    <w:name w:val="Outline"/>
    <w:basedOn w:val="Normal"/>
    <w:semiHidden/>
    <w:unhideWhenUsed/>
    <w:qFormat/>
    <w:locked/>
    <w:rsid w:val="002E3E35"/>
    <w:pPr>
      <w:spacing w:after="240"/>
      <w:ind w:left="720" w:hanging="720"/>
    </w:pPr>
  </w:style>
  <w:style w:type="character" w:styleId="PageNumber">
    <w:name w:val="page number"/>
    <w:basedOn w:val="DefaultParagraphFont"/>
    <w:semiHidden/>
    <w:qFormat/>
    <w:locked/>
    <w:rsid w:val="00F85583"/>
    <w:rPr>
      <w:rFonts w:ascii="Arial" w:hAnsi="Arial"/>
      <w:color w:val="auto"/>
      <w:sz w:val="20"/>
      <w:bdr w:val="none" w:sz="0" w:space="0" w:color="auto"/>
    </w:rPr>
  </w:style>
  <w:style w:type="paragraph" w:customStyle="1" w:styleId="References">
    <w:name w:val="References"/>
    <w:basedOn w:val="Normal"/>
    <w:qFormat/>
    <w:locked/>
    <w:rsid w:val="00F85583"/>
    <w:pPr>
      <w:keepLines/>
      <w:spacing w:after="240"/>
      <w:ind w:left="432" w:hanging="432"/>
    </w:pPr>
  </w:style>
  <w:style w:type="paragraph" w:customStyle="1" w:styleId="TableFootnoteCaption">
    <w:name w:val="Table Footnote_Caption"/>
    <w:qFormat/>
    <w:locked/>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BA7532"/>
    <w:rPr>
      <w:b/>
      <w:color w:val="FFFFFF" w:themeColor="background1"/>
    </w:rPr>
  </w:style>
  <w:style w:type="paragraph" w:customStyle="1" w:styleId="TableHeaderCenter">
    <w:name w:val="Table Header Center"/>
    <w:basedOn w:val="TableHeaderLeft"/>
    <w:qFormat/>
    <w:rsid w:val="009E168D"/>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A2C86"/>
    <w:pPr>
      <w:ind w:firstLine="0"/>
    </w:pPr>
    <w:rPr>
      <w:sz w:val="16"/>
    </w:rPr>
  </w:style>
  <w:style w:type="paragraph" w:customStyle="1" w:styleId="TableSourceCaption">
    <w:name w:val="Table Source_Caption"/>
    <w:qFormat/>
    <w:locked/>
    <w:rsid w:val="00FA2C86"/>
    <w:pPr>
      <w:tabs>
        <w:tab w:val="left" w:pos="792"/>
      </w:tabs>
      <w:spacing w:before="60" w:after="0"/>
      <w:ind w:left="792" w:hanging="792"/>
    </w:pPr>
    <w:rPr>
      <w:rFonts w:ascii="Tahoma" w:eastAsia="Times New Roman" w:hAnsi="Tahoma" w:cs="Times New Roman"/>
      <w:sz w:val="16"/>
      <w:szCs w:val="20"/>
    </w:rPr>
  </w:style>
  <w:style w:type="paragraph" w:customStyle="1" w:styleId="TableSignificanceCaption">
    <w:name w:val="Table Significance_Caption"/>
    <w:basedOn w:val="TableFootnoteCaption"/>
    <w:qFormat/>
    <w:locked/>
    <w:rsid w:val="00FA2C86"/>
    <w:rPr>
      <w:rFonts w:ascii="Tahoma" w:hAnsi="Tahoma"/>
      <w:sz w:val="16"/>
    </w:rPr>
  </w:style>
  <w:style w:type="paragraph" w:customStyle="1" w:styleId="DecimalAligned">
    <w:name w:val="Decimal Aligned"/>
    <w:basedOn w:val="Normal"/>
    <w:uiPriority w:val="40"/>
    <w:qFormat/>
    <w:locked/>
    <w:rsid w:val="009B53A7"/>
    <w:pPr>
      <w:tabs>
        <w:tab w:val="decimal" w:pos="360"/>
      </w:tabs>
      <w:spacing w:after="200" w:line="276" w:lineRule="auto"/>
      <w:ind w:firstLine="0"/>
    </w:pPr>
    <w:rPr>
      <w:rFonts w:asciiTheme="minorHAnsi" w:eastAsiaTheme="minorEastAsia" w:hAnsiTheme="minorHAnsi"/>
      <w:sz w:val="22"/>
      <w:szCs w:val="22"/>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locked/>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locked/>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locked/>
    <w:rsid w:val="002E3E35"/>
    <w:pPr>
      <w:spacing w:before="0" w:after="160"/>
    </w:pPr>
  </w:style>
  <w:style w:type="paragraph" w:customStyle="1" w:styleId="TitleofDocumentNoPhoto">
    <w:name w:val="Title of Document No Photo"/>
    <w:basedOn w:val="TitleofDocumentHorizontal"/>
    <w:semiHidden/>
    <w:qFormat/>
    <w:locked/>
    <w:rsid w:val="002E3E35"/>
  </w:style>
  <w:style w:type="paragraph" w:styleId="TOC1">
    <w:name w:val="toc 1"/>
    <w:next w:val="Normalcontinued"/>
    <w:autoRedefine/>
    <w:uiPriority w:val="39"/>
    <w:qFormat/>
    <w:locked/>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locked/>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locked/>
    <w:rsid w:val="005975FE"/>
    <w:pPr>
      <w:tabs>
        <w:tab w:val="clear" w:pos="1080"/>
        <w:tab w:val="left" w:pos="1440"/>
      </w:tabs>
      <w:spacing w:after="120"/>
      <w:ind w:left="1440"/>
    </w:pPr>
  </w:style>
  <w:style w:type="paragraph" w:styleId="TOC4">
    <w:name w:val="toc 4"/>
    <w:next w:val="Normal"/>
    <w:autoRedefine/>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locked/>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ahoma" w:eastAsia="Times New Roman" w:hAnsi="Tahoma" w:cs="Times New Roman"/>
      <w:sz w:val="21"/>
      <w:szCs w:val="20"/>
    </w:rPr>
  </w:style>
  <w:style w:type="paragraph" w:customStyle="1" w:styleId="NumberedBulletLastDS">
    <w:name w:val="Numbered Bullet (Last DS)"/>
    <w:basedOn w:val="NumberedBullet"/>
    <w:next w:val="Normal"/>
    <w:qFormat/>
    <w:locked/>
    <w:rsid w:val="007614D4"/>
    <w:pPr>
      <w:spacing w:after="320"/>
    </w:pPr>
  </w:style>
  <w:style w:type="paragraph" w:customStyle="1" w:styleId="NumberedBulletLastSS">
    <w:name w:val="Numbered Bullet (Last SS)"/>
    <w:basedOn w:val="NumberedBulletLastDS"/>
    <w:next w:val="NormalSS"/>
    <w:qFormat/>
    <w:locked/>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locked/>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11EC"/>
    <w:pPr>
      <w:ind w:left="720"/>
      <w:contextualSpacing/>
    </w:pPr>
  </w:style>
  <w:style w:type="paragraph" w:customStyle="1" w:styleId="H1Title">
    <w:name w:val="H1_Title"/>
    <w:basedOn w:val="Normal"/>
    <w:next w:val="Normal"/>
    <w:link w:val="H1TitleChar"/>
    <w:qFormat/>
    <w:rsid w:val="00EC3600"/>
    <w:pPr>
      <w:pBdr>
        <w:top w:val="single" w:sz="24" w:space="1" w:color="214194"/>
        <w:left w:val="single" w:sz="12" w:space="4" w:color="214194"/>
        <w:bottom w:val="single" w:sz="24" w:space="1" w:color="214194"/>
        <w:right w:val="single" w:sz="12" w:space="4" w:color="214194"/>
      </w:pBdr>
      <w:shd w:val="clear" w:color="auto" w:fill="214194"/>
      <w:spacing w:before="120" w:after="184" w:line="440" w:lineRule="exact"/>
      <w:ind w:firstLine="0"/>
      <w:jc w:val="center"/>
      <w:outlineLvl w:val="0"/>
    </w:pPr>
    <w:rPr>
      <w:rFonts w:ascii="Arial Black" w:hAnsi="Arial Black" w:cs="Open Sans"/>
      <w:color w:val="FFFFFF" w:themeColor="background1"/>
      <w:sz w:val="37"/>
      <w:szCs w:val="21"/>
    </w:rPr>
  </w:style>
  <w:style w:type="character" w:customStyle="1" w:styleId="H1TitleChar">
    <w:name w:val="H1_Title Char"/>
    <w:link w:val="H1Title"/>
    <w:rsid w:val="00EC3600"/>
    <w:rPr>
      <w:rFonts w:ascii="Arial Black" w:eastAsia="Times New Roman" w:hAnsi="Arial Black" w:cs="Open Sans"/>
      <w:color w:val="FFFFFF" w:themeColor="background1"/>
      <w:sz w:val="37"/>
      <w:szCs w:val="21"/>
      <w:shd w:val="clear" w:color="auto" w:fill="214194"/>
    </w:rPr>
  </w:style>
  <w:style w:type="paragraph" w:customStyle="1" w:styleId="H3Alpha">
    <w:name w:val="H3_Alpha"/>
    <w:basedOn w:val="Heading2"/>
    <w:next w:val="Normal"/>
    <w:link w:val="H3AlphaChar"/>
    <w:qFormat/>
    <w:rsid w:val="00EC3600"/>
    <w:pPr>
      <w:framePr w:wrap="auto" w:vAnchor="margin" w:yAlign="inline"/>
      <w:pBdr>
        <w:bottom w:val="none" w:sz="0" w:space="0" w:color="auto"/>
      </w:pBdr>
      <w:spacing w:before="120" w:after="0"/>
      <w:ind w:left="432" w:hanging="432"/>
      <w:outlineLvl w:val="2"/>
    </w:pPr>
    <w:rPr>
      <w:rFonts w:cs="Open Sans"/>
      <w:caps w:val="0"/>
      <w:color w:val="1888BA"/>
    </w:rPr>
  </w:style>
  <w:style w:type="character" w:customStyle="1" w:styleId="H3AlphaChar">
    <w:name w:val="H3_Alpha Char"/>
    <w:link w:val="H3Alpha"/>
    <w:rsid w:val="00EC3600"/>
    <w:rPr>
      <w:rFonts w:ascii="Arial Black" w:eastAsia="Times New Roman" w:hAnsi="Arial Black" w:cs="Open Sans"/>
      <w:color w:val="1888BA"/>
      <w:sz w:val="21"/>
      <w:szCs w:val="20"/>
    </w:rPr>
  </w:style>
  <w:style w:type="paragraph" w:customStyle="1" w:styleId="H4Alpha">
    <w:name w:val="H4_Alpha"/>
    <w:basedOn w:val="Heading3"/>
    <w:next w:val="NormalSS"/>
    <w:link w:val="H4AlphaChar"/>
    <w:qFormat/>
    <w:rsid w:val="008000B4"/>
    <w:pPr>
      <w:spacing w:before="120" w:after="0"/>
      <w:contextualSpacing/>
      <w:outlineLvl w:val="3"/>
    </w:pPr>
    <w:rPr>
      <w:b/>
      <w:color w:val="BF2029"/>
    </w:rPr>
  </w:style>
  <w:style w:type="character" w:customStyle="1" w:styleId="H4AlphaChar">
    <w:name w:val="H4_Alpha Char"/>
    <w:basedOn w:val="Heading3Char"/>
    <w:link w:val="H4Alpha"/>
    <w:rsid w:val="008000B4"/>
    <w:rPr>
      <w:rFonts w:ascii="Arial Black" w:eastAsia="Times New Roman" w:hAnsi="Arial Black" w:cs="Times New Roman"/>
      <w:b/>
      <w:color w:val="BF2029"/>
      <w:sz w:val="21"/>
      <w:szCs w:val="20"/>
    </w:rPr>
  </w:style>
  <w:style w:type="paragraph" w:customStyle="1" w:styleId="H5Lower">
    <w:name w:val="H5_Lower"/>
    <w:basedOn w:val="Heading4"/>
    <w:next w:val="NormalSS"/>
    <w:link w:val="H5LowerChar"/>
    <w:qFormat/>
    <w:rsid w:val="00976982"/>
    <w:pPr>
      <w:spacing w:before="120" w:after="0"/>
      <w:outlineLvl w:val="4"/>
    </w:pPr>
    <w:rPr>
      <w:sz w:val="18"/>
    </w:rPr>
  </w:style>
  <w:style w:type="character" w:customStyle="1" w:styleId="H5LowerChar">
    <w:name w:val="H5_Lower Char"/>
    <w:basedOn w:val="Heading4Char"/>
    <w:link w:val="H5Lower"/>
    <w:rsid w:val="00976982"/>
    <w:rPr>
      <w:rFonts w:ascii="Tahoma" w:eastAsia="Times New Roman" w:hAnsi="Tahoma" w:cs="Times New Roman"/>
      <w:b/>
      <w:sz w:val="18"/>
      <w:szCs w:val="20"/>
    </w:rPr>
  </w:style>
  <w:style w:type="paragraph" w:styleId="IntenseQuote">
    <w:name w:val="Intense Quote"/>
    <w:basedOn w:val="Normal"/>
    <w:next w:val="Normal"/>
    <w:link w:val="IntenseQuoteChar"/>
    <w:uiPriority w:val="30"/>
    <w:qFormat/>
    <w:rsid w:val="000F6328"/>
    <w:pPr>
      <w:pBdr>
        <w:top w:val="single" w:sz="4" w:space="4" w:color="BF2029"/>
        <w:bottom w:val="single" w:sz="4" w:space="4" w:color="BF2029"/>
      </w:pBdr>
      <w:spacing w:before="120" w:after="120" w:line="240" w:lineRule="exact"/>
      <w:ind w:left="360" w:right="360" w:firstLine="0"/>
      <w:jc w:val="both"/>
    </w:pPr>
    <w:rPr>
      <w:rFonts w:cs="Open Sans"/>
      <w:iCs/>
      <w:color w:val="1888BA"/>
      <w:spacing w:val="-2"/>
      <w:sz w:val="20"/>
      <w:szCs w:val="21"/>
    </w:rPr>
  </w:style>
  <w:style w:type="character" w:customStyle="1" w:styleId="IntenseQuoteChar">
    <w:name w:val="Intense Quote Char"/>
    <w:basedOn w:val="DefaultParagraphFont"/>
    <w:link w:val="IntenseQuote"/>
    <w:uiPriority w:val="30"/>
    <w:rsid w:val="000F6328"/>
    <w:rPr>
      <w:rFonts w:ascii="Tahoma" w:eastAsia="Times New Roman" w:hAnsi="Tahoma" w:cs="Open Sans"/>
      <w:iCs/>
      <w:color w:val="1888BA"/>
      <w:spacing w:val="-2"/>
      <w:sz w:val="20"/>
      <w:szCs w:val="21"/>
    </w:rPr>
  </w:style>
  <w:style w:type="paragraph" w:customStyle="1" w:styleId="BoxHeading">
    <w:name w:val="Box Heading"/>
    <w:basedOn w:val="NormalWeb"/>
    <w:locked/>
    <w:rsid w:val="00490A3D"/>
    <w:pPr>
      <w:pBdr>
        <w:top w:val="single" w:sz="36" w:space="1" w:color="1888BA"/>
        <w:bottom w:val="single" w:sz="18" w:space="1" w:color="1888BA"/>
      </w:pBdr>
      <w:spacing w:line="300" w:lineRule="atLeast"/>
      <w:ind w:left="-187" w:firstLine="86"/>
      <w:jc w:val="both"/>
    </w:pPr>
    <w:rPr>
      <w:rFonts w:ascii="Franklin Gothic Book" w:hAnsi="Franklin Gothic Book" w:cs="Open Sans"/>
      <w:b/>
      <w:color w:val="365F91"/>
      <w:szCs w:val="21"/>
    </w:rPr>
  </w:style>
  <w:style w:type="paragraph" w:styleId="NormalWeb">
    <w:name w:val="Normal (Web)"/>
    <w:basedOn w:val="Normal"/>
    <w:uiPriority w:val="99"/>
    <w:semiHidden/>
    <w:unhideWhenUsed/>
    <w:locked/>
    <w:rsid w:val="00710D17"/>
    <w:rPr>
      <w:szCs w:val="24"/>
    </w:rPr>
  </w:style>
  <w:style w:type="paragraph" w:customStyle="1" w:styleId="Tablebullet">
    <w:name w:val="Table bullet"/>
    <w:basedOn w:val="Normal"/>
    <w:rsid w:val="00710D17"/>
    <w:pPr>
      <w:numPr>
        <w:numId w:val="9"/>
      </w:numPr>
      <w:spacing w:before="120" w:after="225"/>
      <w:jc w:val="both"/>
    </w:pPr>
    <w:rPr>
      <w:rFonts w:ascii="Franklin Gothic Book" w:hAnsi="Franklin Gothic Book" w:cs="Open Sans"/>
      <w:sz w:val="18"/>
      <w:szCs w:val="21"/>
    </w:rPr>
  </w:style>
  <w:style w:type="numbering" w:customStyle="1" w:styleId="RedBullet">
    <w:name w:val="Red Bullet"/>
    <w:uiPriority w:val="99"/>
    <w:locked/>
    <w:rsid w:val="00EC3600"/>
    <w:pPr>
      <w:numPr>
        <w:numId w:val="10"/>
      </w:numPr>
    </w:pPr>
  </w:style>
  <w:style w:type="paragraph" w:customStyle="1" w:styleId="H2Alpha">
    <w:name w:val="H2_Alpha"/>
    <w:basedOn w:val="Heading3"/>
    <w:qFormat/>
    <w:rsid w:val="00DA59B6"/>
    <w:pPr>
      <w:pBdr>
        <w:top w:val="single" w:sz="24" w:space="1" w:color="1888BA"/>
        <w:bottom w:val="single" w:sz="8" w:space="1" w:color="1888BA"/>
      </w:pBdr>
      <w:tabs>
        <w:tab w:val="left" w:pos="7635"/>
      </w:tabs>
      <w:spacing w:before="200" w:after="0"/>
    </w:pPr>
    <w:rPr>
      <w:color w:val="214194"/>
      <w:szCs w:val="24"/>
    </w:rPr>
  </w:style>
  <w:style w:type="character" w:customStyle="1" w:styleId="Emphasistext">
    <w:name w:val="Emphasis text"/>
    <w:basedOn w:val="DefaultParagraphFont"/>
    <w:uiPriority w:val="1"/>
    <w:qFormat/>
    <w:locked/>
    <w:rsid w:val="007F420D"/>
    <w:rPr>
      <w:rFonts w:ascii="Arial Black" w:hAnsi="Arial Black"/>
      <w:color w:val="65757D"/>
      <w:sz w:val="22"/>
    </w:rPr>
  </w:style>
  <w:style w:type="character" w:customStyle="1" w:styleId="BoldLeadIn">
    <w:name w:val="Bold Lead In"/>
    <w:basedOn w:val="DefaultParagraphFont"/>
    <w:uiPriority w:val="1"/>
    <w:qFormat/>
    <w:rsid w:val="000342AD"/>
    <w:rPr>
      <w:rFonts w:ascii="Tahoma" w:hAnsi="Tahoma"/>
      <w:b/>
      <w:color w:val="BF2029"/>
      <w:sz w:val="21"/>
    </w:rPr>
  </w:style>
  <w:style w:type="paragraph" w:styleId="EndnoteText">
    <w:name w:val="endnote text"/>
    <w:basedOn w:val="Normal"/>
    <w:link w:val="EndnoteTextChar"/>
    <w:uiPriority w:val="99"/>
    <w:unhideWhenUsed/>
    <w:locked/>
    <w:rsid w:val="00514410"/>
    <w:pPr>
      <w:spacing w:after="240"/>
      <w:ind w:firstLine="0"/>
    </w:pPr>
    <w:rPr>
      <w:rFonts w:eastAsiaTheme="minorHAnsi" w:cstheme="minorBidi"/>
    </w:rPr>
  </w:style>
  <w:style w:type="character" w:customStyle="1" w:styleId="EndnoteTextChar">
    <w:name w:val="Endnote Text Char"/>
    <w:basedOn w:val="DefaultParagraphFont"/>
    <w:link w:val="EndnoteText"/>
    <w:uiPriority w:val="99"/>
    <w:rsid w:val="00514410"/>
    <w:rPr>
      <w:rFonts w:ascii="Tahoma" w:eastAsiaTheme="minorHAnsi" w:hAnsi="Tahoma"/>
      <w:sz w:val="21"/>
      <w:szCs w:val="20"/>
    </w:rPr>
  </w:style>
  <w:style w:type="paragraph" w:customStyle="1" w:styleId="IntenseQuote1">
    <w:name w:val="Intense Quote1"/>
    <w:basedOn w:val="Normal"/>
    <w:next w:val="Normal"/>
    <w:uiPriority w:val="30"/>
    <w:qFormat/>
    <w:locked/>
    <w:rsid w:val="00490A3D"/>
    <w:pPr>
      <w:pBdr>
        <w:top w:val="single" w:sz="36" w:space="10" w:color="1888BA"/>
        <w:bottom w:val="single" w:sz="18" w:space="10" w:color="1888BA"/>
      </w:pBdr>
      <w:spacing w:before="360" w:after="360" w:line="300" w:lineRule="atLeast"/>
      <w:ind w:left="864" w:right="864"/>
      <w:jc w:val="center"/>
    </w:pPr>
    <w:rPr>
      <w:rFonts w:ascii="Arial" w:hAnsi="Arial" w:cs="Open Sans"/>
      <w:b/>
      <w:i/>
      <w:iCs/>
      <w:color w:val="BF2029"/>
      <w:sz w:val="24"/>
      <w:szCs w:val="21"/>
    </w:rPr>
  </w:style>
  <w:style w:type="paragraph" w:customStyle="1" w:styleId="IntenseQuoteAttribution">
    <w:name w:val="Intense Quote Attribution"/>
    <w:basedOn w:val="IntenseQuote"/>
    <w:qFormat/>
    <w:rsid w:val="00E60FEB"/>
    <w:pPr>
      <w:numPr>
        <w:numId w:val="11"/>
      </w:numPr>
      <w:spacing w:before="80" w:after="0"/>
      <w:jc w:val="right"/>
    </w:pPr>
  </w:style>
  <w:style w:type="character" w:styleId="SubtleEmphasis">
    <w:name w:val="Subtle Emphasis"/>
    <w:basedOn w:val="DefaultParagraphFont"/>
    <w:uiPriority w:val="19"/>
    <w:qFormat/>
    <w:locked/>
    <w:rsid w:val="009B53A7"/>
    <w:rPr>
      <w:i/>
      <w:iCs/>
    </w:rPr>
  </w:style>
  <w:style w:type="table" w:styleId="LightShading-Accent1">
    <w:name w:val="Light Shading Accent 1"/>
    <w:basedOn w:val="TableNormal"/>
    <w:uiPriority w:val="60"/>
    <w:locked/>
    <w:rsid w:val="009B53A7"/>
    <w:pPr>
      <w:spacing w:after="0"/>
    </w:pPr>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51">
    <w:name w:val="Grid Table 4 - Accent 51"/>
    <w:basedOn w:val="TableNormal"/>
    <w:uiPriority w:val="49"/>
    <w:locked/>
    <w:rsid w:val="005359D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WFIHeader">
    <w:name w:val="SWFI Header"/>
    <w:basedOn w:val="Normal"/>
    <w:qFormat/>
    <w:rsid w:val="00FB1B21"/>
    <w:pPr>
      <w:pBdr>
        <w:bottom w:val="single" w:sz="8" w:space="6" w:color="214194"/>
      </w:pBdr>
      <w:spacing w:after="240"/>
      <w:ind w:firstLine="0"/>
      <w:contextualSpacing/>
    </w:pPr>
    <w:rPr>
      <w:rFonts w:eastAsiaTheme="minorHAnsi" w:cstheme="minorBidi"/>
      <w:color w:val="214194"/>
      <w:sz w:val="24"/>
      <w:szCs w:val="22"/>
    </w:rPr>
  </w:style>
  <w:style w:type="character" w:styleId="Hyperlink">
    <w:name w:val="Hyperlink"/>
    <w:basedOn w:val="DefaultParagraphFont"/>
    <w:uiPriority w:val="99"/>
    <w:unhideWhenUsed/>
    <w:locked/>
    <w:rsid w:val="00126C6D"/>
    <w:rPr>
      <w:color w:val="0563C1"/>
      <w:u w:val="single"/>
    </w:rPr>
  </w:style>
  <w:style w:type="table" w:customStyle="1" w:styleId="GridTable2-Accent51">
    <w:name w:val="Grid Table 2 - Accent 51"/>
    <w:basedOn w:val="TableNormal"/>
    <w:uiPriority w:val="47"/>
    <w:locked/>
    <w:rsid w:val="003E05C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locked/>
    <w:rsid w:val="003E05C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3E05C9"/>
    <w:rPr>
      <w:sz w:val="16"/>
      <w:szCs w:val="16"/>
    </w:rPr>
  </w:style>
  <w:style w:type="paragraph" w:styleId="CommentText">
    <w:name w:val="annotation text"/>
    <w:basedOn w:val="Normal"/>
    <w:link w:val="CommentTextChar"/>
    <w:uiPriority w:val="99"/>
    <w:semiHidden/>
    <w:unhideWhenUsed/>
    <w:locked/>
    <w:rsid w:val="003E05C9"/>
    <w:pPr>
      <w:spacing w:line="240" w:lineRule="auto"/>
    </w:pPr>
    <w:rPr>
      <w:sz w:val="20"/>
    </w:rPr>
  </w:style>
  <w:style w:type="character" w:customStyle="1" w:styleId="CommentTextChar">
    <w:name w:val="Comment Text Char"/>
    <w:basedOn w:val="DefaultParagraphFont"/>
    <w:link w:val="CommentText"/>
    <w:uiPriority w:val="99"/>
    <w:semiHidden/>
    <w:rsid w:val="003E05C9"/>
    <w:rPr>
      <w:rFonts w:ascii="Tahoma" w:eastAsia="Times New Roman" w:hAnsi="Tahoma" w:cs="Times New Roman"/>
      <w:sz w:val="20"/>
      <w:szCs w:val="20"/>
    </w:rPr>
  </w:style>
  <w:style w:type="table" w:customStyle="1" w:styleId="ListTable4-Accent51">
    <w:name w:val="List Table 4 - Accent 51"/>
    <w:basedOn w:val="TableNormal"/>
    <w:uiPriority w:val="49"/>
    <w:locked/>
    <w:rsid w:val="003F53F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locked/>
    <w:rsid w:val="00B07E1D"/>
    <w:rPr>
      <w:b/>
      <w:bCs/>
    </w:rPr>
  </w:style>
  <w:style w:type="character" w:customStyle="1" w:styleId="CommentSubjectChar">
    <w:name w:val="Comment Subject Char"/>
    <w:basedOn w:val="CommentTextChar"/>
    <w:link w:val="CommentSubject"/>
    <w:uiPriority w:val="99"/>
    <w:semiHidden/>
    <w:rsid w:val="00B07E1D"/>
    <w:rPr>
      <w:rFonts w:ascii="Tahoma" w:eastAsia="Times New Roman" w:hAnsi="Tahoma" w:cs="Times New Roman"/>
      <w:b/>
      <w:bCs/>
      <w:sz w:val="20"/>
      <w:szCs w:val="20"/>
    </w:rPr>
  </w:style>
  <w:style w:type="character" w:styleId="EndnoteReference">
    <w:name w:val="endnote reference"/>
    <w:basedOn w:val="DefaultParagraphFont"/>
    <w:semiHidden/>
    <w:unhideWhenUsed/>
    <w:locked/>
    <w:rsid w:val="00A563A5"/>
    <w:rPr>
      <w:vertAlign w:val="superscript"/>
    </w:rPr>
  </w:style>
  <w:style w:type="paragraph" w:styleId="Header">
    <w:name w:val="header"/>
    <w:basedOn w:val="Normal"/>
    <w:link w:val="HeaderChar"/>
    <w:uiPriority w:val="99"/>
    <w:unhideWhenUsed/>
    <w:qFormat/>
    <w:rsid w:val="00633E9F"/>
    <w:pPr>
      <w:tabs>
        <w:tab w:val="center" w:pos="4680"/>
        <w:tab w:val="right" w:pos="9360"/>
      </w:tabs>
      <w:spacing w:line="240" w:lineRule="auto"/>
    </w:pPr>
  </w:style>
  <w:style w:type="character" w:customStyle="1" w:styleId="HeaderChar">
    <w:name w:val="Header Char"/>
    <w:basedOn w:val="DefaultParagraphFont"/>
    <w:link w:val="Header"/>
    <w:uiPriority w:val="99"/>
    <w:rsid w:val="00633E9F"/>
    <w:rPr>
      <w:rFonts w:ascii="Tahoma" w:eastAsia="Times New Roman" w:hAnsi="Tahoma" w:cs="Times New Roman"/>
      <w:sz w:val="21"/>
      <w:szCs w:val="20"/>
    </w:rPr>
  </w:style>
  <w:style w:type="paragraph" w:styleId="Revision">
    <w:name w:val="Revision"/>
    <w:hidden/>
    <w:uiPriority w:val="99"/>
    <w:semiHidden/>
    <w:rsid w:val="009B58F5"/>
    <w:pPr>
      <w:spacing w:after="0"/>
    </w:pPr>
    <w:rPr>
      <w:rFonts w:ascii="Tahoma" w:eastAsia="Times New Roman" w:hAnsi="Tahoma" w:cs="Times New Roman"/>
      <w:sz w:val="21"/>
      <w:szCs w:val="20"/>
    </w:rPr>
  </w:style>
  <w:style w:type="character" w:styleId="FollowedHyperlink">
    <w:name w:val="FollowedHyperlink"/>
    <w:basedOn w:val="DefaultParagraphFont"/>
    <w:semiHidden/>
    <w:unhideWhenUsed/>
    <w:locked/>
    <w:rsid w:val="00982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186">
      <w:bodyDiv w:val="1"/>
      <w:marLeft w:val="0"/>
      <w:marRight w:val="0"/>
      <w:marTop w:val="0"/>
      <w:marBottom w:val="0"/>
      <w:divBdr>
        <w:top w:val="none" w:sz="0" w:space="0" w:color="auto"/>
        <w:left w:val="none" w:sz="0" w:space="0" w:color="auto"/>
        <w:bottom w:val="none" w:sz="0" w:space="0" w:color="auto"/>
        <w:right w:val="none" w:sz="0" w:space="0" w:color="auto"/>
      </w:divBdr>
    </w:div>
    <w:div w:id="582446901">
      <w:bodyDiv w:val="1"/>
      <w:marLeft w:val="0"/>
      <w:marRight w:val="0"/>
      <w:marTop w:val="0"/>
      <w:marBottom w:val="0"/>
      <w:divBdr>
        <w:top w:val="none" w:sz="0" w:space="0" w:color="auto"/>
        <w:left w:val="none" w:sz="0" w:space="0" w:color="auto"/>
        <w:bottom w:val="none" w:sz="0" w:space="0" w:color="auto"/>
        <w:right w:val="none" w:sz="0" w:space="0" w:color="auto"/>
      </w:divBdr>
    </w:div>
    <w:div w:id="1004163642">
      <w:bodyDiv w:val="1"/>
      <w:marLeft w:val="0"/>
      <w:marRight w:val="0"/>
      <w:marTop w:val="0"/>
      <w:marBottom w:val="0"/>
      <w:divBdr>
        <w:top w:val="none" w:sz="0" w:space="0" w:color="auto"/>
        <w:left w:val="none" w:sz="0" w:space="0" w:color="auto"/>
        <w:bottom w:val="none" w:sz="0" w:space="0" w:color="auto"/>
        <w:right w:val="none" w:sz="0" w:space="0" w:color="auto"/>
      </w:divBdr>
    </w:div>
    <w:div w:id="1674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s.org/sgp/crs/misc/R43634.pdf" TargetMode="External"/><Relationship Id="rId18" Type="http://schemas.openxmlformats.org/officeDocument/2006/relationships/hyperlink" Target="https://www.cbpp.org/research/policy-basics-an-introduction-to-tanf"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fas.org/sgp/crs/misc/R43634.pdf" TargetMode="External"/><Relationship Id="rId17" Type="http://schemas.openxmlformats.org/officeDocument/2006/relationships/hyperlink" Target="https://www.cbpp.org/research/policy-basics-an-introduction-to-tanf" TargetMode="External"/><Relationship Id="rId2" Type="http://schemas.openxmlformats.org/officeDocument/2006/relationships/customXml" Target="../customXml/item1.xml"/><Relationship Id="rId16" Type="http://schemas.openxmlformats.org/officeDocument/2006/relationships/hyperlink" Target="https://fas.org/sgp/crs/misc/R43634.pdf"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as.org/sgp/crs/misc/R43634.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pp.org/research/policy-basics-an-introduction-to-tan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fas.org/sgp/crs/misc/R4363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7695C6D8FB447B5E88FA462271614" ma:contentTypeVersion="0" ma:contentTypeDescription="Create a new document." ma:contentTypeScope="" ma:versionID="14510920157d5e215507d67779269c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C287-CE38-4789-8D5A-272D699718A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BD5013-1680-419B-B22A-21A738A0DCB9}">
  <ds:schemaRefs>
    <ds:schemaRef ds:uri="http://schemas.microsoft.com/sharepoint/v3/contenttype/forms"/>
  </ds:schemaRefs>
</ds:datastoreItem>
</file>

<file path=customXml/itemProps3.xml><?xml version="1.0" encoding="utf-8"?>
<ds:datastoreItem xmlns:ds="http://schemas.openxmlformats.org/officeDocument/2006/customXml" ds:itemID="{D14BBE82-B577-4005-A656-7A595D9D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45FA4A-EAEE-4441-AB51-C7803EFA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50405 Federal Resources Tip Sheet (DRAFT 08.03.17)</vt:lpstr>
    </vt:vector>
  </TitlesOfParts>
  <Company>Mathematica, Inc</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50405 Federal Resources Tip Sheet (DRAFT 08.03.17)</dc:title>
  <dc:subject>TANF</dc:subject>
  <dc:creator>Lily Roberts</dc:creator>
  <cp:keywords>SWFI; TANF</cp:keywords>
  <dc:description/>
  <cp:lastModifiedBy>Alexander Hollister</cp:lastModifiedBy>
  <cp:revision>2</cp:revision>
  <cp:lastPrinted>2017-09-07T18:14:00Z</cp:lastPrinted>
  <dcterms:created xsi:type="dcterms:W3CDTF">2017-10-12T12:53:00Z</dcterms:created>
  <dcterms:modified xsi:type="dcterms:W3CDTF">2017-10-12T12:53:00Z</dcterms:modified>
  <cp:category>Tip Sheet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0x0101009527695C6D8FB447B5E88FA462271614</vt:lpwstr>
  </property>
</Properties>
</file>